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537" w:rsidRPr="00216EEA" w:rsidRDefault="00F73537" w:rsidP="00F73537">
      <w:pPr>
        <w:pStyle w:val="Title"/>
      </w:pPr>
      <w:bookmarkStart w:id="0" w:name="_Toc205632711"/>
      <w:r>
        <w:t xml:space="preserve">Operational Acceptance Plan </w:t>
      </w:r>
    </w:p>
    <w:p w:rsidR="00F73537" w:rsidRDefault="00F73537" w:rsidP="00B40B0A">
      <w:pPr>
        <w:pStyle w:val="Title"/>
        <w:spacing w:after="0"/>
        <w:rPr>
          <w:b w:val="0"/>
          <w:sz w:val="28"/>
        </w:rPr>
      </w:pPr>
    </w:p>
    <w:p w:rsidR="007D4C26" w:rsidRDefault="00B40B0A" w:rsidP="00B40B0A">
      <w:pPr>
        <w:pStyle w:val="Title"/>
        <w:spacing w:after="0"/>
        <w:rPr>
          <w:b w:val="0"/>
          <w:sz w:val="28"/>
        </w:rPr>
      </w:pPr>
      <w:r w:rsidRPr="007D4C26">
        <w:rPr>
          <w:b w:val="0"/>
          <w:sz w:val="28"/>
        </w:rPr>
        <w:t>Genomic Information System for Integrated Science</w:t>
      </w:r>
      <w:r w:rsidR="00976A00" w:rsidRPr="007D4C26">
        <w:rPr>
          <w:b w:val="0"/>
          <w:sz w:val="28"/>
        </w:rPr>
        <w:t xml:space="preserve"> 2</w:t>
      </w:r>
      <w:r w:rsidRPr="007D4C26">
        <w:rPr>
          <w:b w:val="0"/>
          <w:sz w:val="28"/>
        </w:rPr>
        <w:t xml:space="preserve"> </w:t>
      </w:r>
    </w:p>
    <w:p w:rsidR="00B40B0A" w:rsidRPr="007D4C26" w:rsidRDefault="00B40B0A" w:rsidP="00B40B0A">
      <w:pPr>
        <w:pStyle w:val="Title"/>
        <w:spacing w:after="0"/>
        <w:rPr>
          <w:b w:val="0"/>
          <w:sz w:val="28"/>
        </w:rPr>
      </w:pPr>
      <w:r w:rsidRPr="007D4C26">
        <w:rPr>
          <w:b w:val="0"/>
          <w:sz w:val="28"/>
        </w:rPr>
        <w:t>(</w:t>
      </w:r>
      <w:r w:rsidR="00EE1BC0" w:rsidRPr="007D4C26">
        <w:rPr>
          <w:b w:val="0"/>
          <w:sz w:val="28"/>
        </w:rPr>
        <w:t>Genisis</w:t>
      </w:r>
      <w:r w:rsidR="00976A00" w:rsidRPr="007D4C26">
        <w:rPr>
          <w:b w:val="0"/>
          <w:sz w:val="28"/>
        </w:rPr>
        <w:t>2</w:t>
      </w:r>
      <w:r w:rsidR="00261056" w:rsidRPr="007D4C26">
        <w:rPr>
          <w:b w:val="0"/>
          <w:sz w:val="28"/>
        </w:rPr>
        <w:t>)</w:t>
      </w:r>
      <w:r w:rsidR="00EE1BC0" w:rsidRPr="007D4C26">
        <w:rPr>
          <w:b w:val="0"/>
          <w:sz w:val="28"/>
        </w:rPr>
        <w:t xml:space="preserve"> Technical Services</w:t>
      </w:r>
    </w:p>
    <w:p w:rsidR="00B40B0A" w:rsidRDefault="00B40B0A" w:rsidP="00B40B0A">
      <w:pPr>
        <w:pStyle w:val="Title"/>
        <w:tabs>
          <w:tab w:val="center" w:pos="4680"/>
          <w:tab w:val="right" w:pos="9360"/>
        </w:tabs>
        <w:spacing w:before="360"/>
        <w:jc w:val="left"/>
        <w:rPr>
          <w:b w:val="0"/>
          <w:sz w:val="28"/>
        </w:rPr>
      </w:pPr>
      <w:r w:rsidRPr="007D4C26">
        <w:rPr>
          <w:b w:val="0"/>
          <w:sz w:val="28"/>
        </w:rPr>
        <w:tab/>
      </w:r>
      <w:r w:rsidR="00151E8F" w:rsidRPr="007D4C26">
        <w:rPr>
          <w:b w:val="0"/>
          <w:sz w:val="28"/>
        </w:rPr>
        <w:t>Release</w:t>
      </w:r>
      <w:r w:rsidR="00EA7373">
        <w:rPr>
          <w:b w:val="0"/>
          <w:sz w:val="28"/>
        </w:rPr>
        <w:t xml:space="preserve"> </w:t>
      </w:r>
      <w:r w:rsidR="00C84BD0">
        <w:rPr>
          <w:b w:val="0"/>
          <w:sz w:val="28"/>
        </w:rPr>
        <w:t>3</w:t>
      </w:r>
    </w:p>
    <w:p w:rsidR="00F73537" w:rsidRPr="007D4C26" w:rsidRDefault="00F73537" w:rsidP="00B40B0A">
      <w:pPr>
        <w:pStyle w:val="Title"/>
        <w:tabs>
          <w:tab w:val="center" w:pos="4680"/>
          <w:tab w:val="right" w:pos="9360"/>
        </w:tabs>
        <w:spacing w:before="360"/>
        <w:jc w:val="left"/>
        <w:rPr>
          <w:b w:val="0"/>
          <w:sz w:val="28"/>
        </w:rPr>
      </w:pPr>
    </w:p>
    <w:p w:rsidR="004F3A80" w:rsidRDefault="00B859DB" w:rsidP="004F3A80">
      <w:pPr>
        <w:pStyle w:val="CoverTitleInstructions"/>
      </w:pPr>
      <w:r>
        <w:rPr>
          <w:noProof/>
        </w:rPr>
        <w:drawing>
          <wp:inline distT="0" distB="0" distL="0" distR="0" wp14:anchorId="7D706190" wp14:editId="5B5BD290">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Default="009976DD" w:rsidP="009976DD">
      <w:pPr>
        <w:pStyle w:val="Title"/>
      </w:pPr>
    </w:p>
    <w:p w:rsidR="004F3A80" w:rsidRPr="00040B82" w:rsidRDefault="00C84BD0" w:rsidP="5277BE76">
      <w:pPr>
        <w:pStyle w:val="InstructionalTextTitle2"/>
        <w:rPr>
          <w:rFonts w:ascii="Arial" w:hAnsi="Arial" w:cs="Arial"/>
          <w:i w:val="0"/>
          <w:color w:val="auto"/>
          <w:sz w:val="28"/>
          <w:szCs w:val="28"/>
        </w:rPr>
      </w:pPr>
      <w:r>
        <w:rPr>
          <w:rFonts w:ascii="Arial" w:hAnsi="Arial" w:cs="Arial"/>
          <w:i w:val="0"/>
          <w:color w:val="auto"/>
          <w:sz w:val="28"/>
          <w:szCs w:val="28"/>
        </w:rPr>
        <w:t>June</w:t>
      </w:r>
      <w:r w:rsidRPr="5277BE76">
        <w:rPr>
          <w:rFonts w:ascii="Arial" w:hAnsi="Arial" w:cs="Arial"/>
          <w:i w:val="0"/>
          <w:color w:val="auto"/>
          <w:sz w:val="28"/>
          <w:szCs w:val="28"/>
        </w:rPr>
        <w:t xml:space="preserve"> </w:t>
      </w:r>
      <w:r w:rsidR="5277BE76" w:rsidRPr="5277BE76">
        <w:rPr>
          <w:rFonts w:ascii="Arial" w:hAnsi="Arial" w:cs="Arial"/>
          <w:i w:val="0"/>
          <w:color w:val="auto"/>
          <w:sz w:val="28"/>
          <w:szCs w:val="28"/>
        </w:rPr>
        <w:t>2017</w:t>
      </w:r>
    </w:p>
    <w:p w:rsidR="00040B82" w:rsidRPr="00040B82" w:rsidRDefault="00040B82" w:rsidP="00040B82">
      <w:pPr>
        <w:pStyle w:val="Title2"/>
      </w:pPr>
    </w:p>
    <w:p w:rsidR="00F7216E" w:rsidRPr="00040B82" w:rsidRDefault="00216EEA" w:rsidP="00F7216E">
      <w:pPr>
        <w:pStyle w:val="Title2"/>
        <w:rPr>
          <w:b w:val="0"/>
          <w:szCs w:val="28"/>
        </w:rPr>
      </w:pPr>
      <w:r w:rsidRPr="00B40B0A">
        <w:rPr>
          <w:szCs w:val="28"/>
        </w:rPr>
        <w:t xml:space="preserve">Document </w:t>
      </w:r>
      <w:r w:rsidR="00F7216E" w:rsidRPr="00B40B0A">
        <w:rPr>
          <w:szCs w:val="28"/>
        </w:rPr>
        <w:t xml:space="preserve">Version </w:t>
      </w:r>
      <w:r w:rsidR="00981721">
        <w:rPr>
          <w:b w:val="0"/>
          <w:szCs w:val="28"/>
        </w:rPr>
        <w:t>3</w:t>
      </w:r>
      <w:r w:rsidR="00B40B0A" w:rsidRPr="00040B82">
        <w:rPr>
          <w:b w:val="0"/>
          <w:szCs w:val="28"/>
        </w:rPr>
        <w:t>.0</w:t>
      </w:r>
    </w:p>
    <w:p w:rsidR="00216EEA" w:rsidRDefault="00216EEA" w:rsidP="004F3A80">
      <w:pPr>
        <w:pStyle w:val="Title2"/>
      </w:pPr>
    </w:p>
    <w:p w:rsidR="004F3A80" w:rsidRDefault="00216EEA" w:rsidP="004F3A80">
      <w:pPr>
        <w:pStyle w:val="Title2"/>
      </w:pPr>
      <w:r w:rsidRPr="00216EEA">
        <w:t>Department of Veterans Affairs</w:t>
      </w:r>
    </w:p>
    <w:p w:rsidR="00510F16" w:rsidRDefault="00CC56C2" w:rsidP="00510F16">
      <w:pPr>
        <w:sectPr w:rsidR="00510F16" w:rsidSect="007D19E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cols w:space="720"/>
          <w:docGrid w:linePitch="360"/>
        </w:sectPr>
      </w:pPr>
      <w:r>
        <w:br w:type="page"/>
      </w:r>
    </w:p>
    <w:p w:rsidR="00216EEA" w:rsidRPr="00AD4E85" w:rsidRDefault="0056387F" w:rsidP="00E0789A">
      <w:pPr>
        <w:pStyle w:val="Title2"/>
        <w:spacing w:after="360"/>
      </w:pPr>
      <w:r>
        <w:lastRenderedPageBreak/>
        <w:t xml:space="preserve">Document </w:t>
      </w:r>
      <w:r w:rsidR="00922D53">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11"/>
        <w:gridCol w:w="1161"/>
        <w:gridCol w:w="4390"/>
        <w:gridCol w:w="2314"/>
      </w:tblGrid>
      <w:tr w:rsidR="004F3A80" w:rsidRPr="005068FD" w:rsidTr="00CD40E2">
        <w:trPr>
          <w:cantSplit/>
          <w:tblHeader/>
        </w:trPr>
        <w:tc>
          <w:tcPr>
            <w:tcW w:w="894" w:type="pct"/>
            <w:shd w:val="clear" w:color="auto" w:fill="F2F2F2"/>
          </w:tcPr>
          <w:p w:rsidR="004F3A80" w:rsidRPr="005068FD" w:rsidRDefault="004F3A80" w:rsidP="0004636C">
            <w:pPr>
              <w:pStyle w:val="TableHeading"/>
            </w:pPr>
            <w:bookmarkStart w:id="1" w:name="ColumnTitle_01"/>
            <w:bookmarkEnd w:id="1"/>
            <w:r w:rsidRPr="005068FD">
              <w:t>Date</w:t>
            </w:r>
          </w:p>
        </w:tc>
        <w:tc>
          <w:tcPr>
            <w:tcW w:w="606" w:type="pct"/>
            <w:shd w:val="clear" w:color="auto" w:fill="F2F2F2"/>
          </w:tcPr>
          <w:p w:rsidR="004F3A80" w:rsidRPr="005068FD" w:rsidRDefault="007140CA" w:rsidP="0004636C">
            <w:pPr>
              <w:pStyle w:val="TableHeading"/>
            </w:pPr>
            <w:r>
              <w:t>Revision</w:t>
            </w:r>
          </w:p>
        </w:tc>
        <w:tc>
          <w:tcPr>
            <w:tcW w:w="2292" w:type="pct"/>
            <w:shd w:val="clear" w:color="auto" w:fill="F2F2F2"/>
          </w:tcPr>
          <w:p w:rsidR="004F3A80" w:rsidRPr="005068FD" w:rsidRDefault="004F3A80" w:rsidP="0004636C">
            <w:pPr>
              <w:pStyle w:val="TableHeading"/>
            </w:pPr>
            <w:r w:rsidRPr="005068FD">
              <w:t>Description</w:t>
            </w:r>
          </w:p>
        </w:tc>
        <w:tc>
          <w:tcPr>
            <w:tcW w:w="1208" w:type="pct"/>
            <w:shd w:val="clear" w:color="auto" w:fill="F2F2F2"/>
          </w:tcPr>
          <w:p w:rsidR="004F3A80" w:rsidRPr="005068FD" w:rsidRDefault="004F3A80" w:rsidP="0004636C">
            <w:pPr>
              <w:pStyle w:val="TableHeading"/>
            </w:pPr>
            <w:r w:rsidRPr="005068FD">
              <w:t>Author</w:t>
            </w:r>
          </w:p>
        </w:tc>
      </w:tr>
      <w:tr w:rsidR="004F3A80" w:rsidTr="00CD40E2">
        <w:trPr>
          <w:cantSplit/>
        </w:trPr>
        <w:tc>
          <w:tcPr>
            <w:tcW w:w="894" w:type="pct"/>
          </w:tcPr>
          <w:p w:rsidR="004F3A80" w:rsidRPr="005068FD" w:rsidRDefault="00C84BD0" w:rsidP="00216CDB">
            <w:pPr>
              <w:pStyle w:val="TableText"/>
            </w:pPr>
            <w:r>
              <w:t>0</w:t>
            </w:r>
            <w:r w:rsidR="00216CDB">
              <w:t>2</w:t>
            </w:r>
            <w:r w:rsidR="00BD079C">
              <w:t>/</w:t>
            </w:r>
            <w:r w:rsidR="00216CDB">
              <w:t>10</w:t>
            </w:r>
            <w:r w:rsidR="00BD079C">
              <w:t>/2017</w:t>
            </w:r>
          </w:p>
        </w:tc>
        <w:tc>
          <w:tcPr>
            <w:tcW w:w="606" w:type="pct"/>
          </w:tcPr>
          <w:p w:rsidR="004F3A80" w:rsidRDefault="00BD079C" w:rsidP="0004636C">
            <w:pPr>
              <w:pStyle w:val="TableText"/>
            </w:pPr>
            <w:r>
              <w:t>1.0</w:t>
            </w:r>
          </w:p>
        </w:tc>
        <w:tc>
          <w:tcPr>
            <w:tcW w:w="2292" w:type="pct"/>
          </w:tcPr>
          <w:p w:rsidR="004F3A80" w:rsidRDefault="00261056" w:rsidP="0004636C">
            <w:pPr>
              <w:pStyle w:val="TableText"/>
            </w:pPr>
            <w:r>
              <w:t>Release 1</w:t>
            </w:r>
          </w:p>
        </w:tc>
        <w:tc>
          <w:tcPr>
            <w:tcW w:w="1208" w:type="pct"/>
          </w:tcPr>
          <w:p w:rsidR="004F3A80" w:rsidRDefault="00BD079C" w:rsidP="0004636C">
            <w:pPr>
              <w:pStyle w:val="TableText"/>
            </w:pPr>
            <w:r>
              <w:t>Booz Allen Hamilton</w:t>
            </w:r>
          </w:p>
        </w:tc>
      </w:tr>
      <w:tr w:rsidR="00E55910" w:rsidTr="00CD40E2">
        <w:trPr>
          <w:cantSplit/>
        </w:trPr>
        <w:tc>
          <w:tcPr>
            <w:tcW w:w="894" w:type="pct"/>
            <w:tcBorders>
              <w:top w:val="single" w:sz="4" w:space="0" w:color="000000"/>
              <w:left w:val="single" w:sz="4" w:space="0" w:color="000000"/>
              <w:bottom w:val="single" w:sz="4" w:space="0" w:color="000000"/>
              <w:right w:val="single" w:sz="4" w:space="0" w:color="000000"/>
            </w:tcBorders>
          </w:tcPr>
          <w:p w:rsidR="00E55910" w:rsidRDefault="00C84BD0" w:rsidP="007872E5">
            <w:pPr>
              <w:pStyle w:val="TableText"/>
            </w:pPr>
            <w:r>
              <w:t>0</w:t>
            </w:r>
            <w:r w:rsidR="00E55910">
              <w:t>5/12/2017</w:t>
            </w:r>
          </w:p>
        </w:tc>
        <w:tc>
          <w:tcPr>
            <w:tcW w:w="606" w:type="pct"/>
            <w:tcBorders>
              <w:top w:val="single" w:sz="4" w:space="0" w:color="000000"/>
              <w:left w:val="single" w:sz="4" w:space="0" w:color="000000"/>
              <w:bottom w:val="single" w:sz="4" w:space="0" w:color="000000"/>
              <w:right w:val="single" w:sz="4" w:space="0" w:color="000000"/>
            </w:tcBorders>
          </w:tcPr>
          <w:p w:rsidR="00E55910" w:rsidRDefault="00E55910" w:rsidP="007872E5">
            <w:pPr>
              <w:pStyle w:val="TableText"/>
            </w:pPr>
            <w:r>
              <w:t>2.0</w:t>
            </w:r>
          </w:p>
        </w:tc>
        <w:tc>
          <w:tcPr>
            <w:tcW w:w="2292" w:type="pct"/>
            <w:tcBorders>
              <w:top w:val="single" w:sz="4" w:space="0" w:color="000000"/>
              <w:left w:val="single" w:sz="4" w:space="0" w:color="000000"/>
              <w:bottom w:val="single" w:sz="4" w:space="0" w:color="000000"/>
              <w:right w:val="single" w:sz="4" w:space="0" w:color="000000"/>
            </w:tcBorders>
          </w:tcPr>
          <w:p w:rsidR="00E55910" w:rsidRDefault="00E55910" w:rsidP="007872E5">
            <w:pPr>
              <w:pStyle w:val="TableText"/>
            </w:pPr>
            <w:r>
              <w:t>Release 2</w:t>
            </w:r>
          </w:p>
        </w:tc>
        <w:tc>
          <w:tcPr>
            <w:tcW w:w="1208" w:type="pct"/>
            <w:tcBorders>
              <w:top w:val="single" w:sz="4" w:space="0" w:color="000000"/>
              <w:left w:val="single" w:sz="4" w:space="0" w:color="000000"/>
              <w:bottom w:val="single" w:sz="4" w:space="0" w:color="000000"/>
              <w:right w:val="single" w:sz="4" w:space="0" w:color="000000"/>
            </w:tcBorders>
          </w:tcPr>
          <w:p w:rsidR="00E55910" w:rsidRDefault="00E55910" w:rsidP="007872E5">
            <w:pPr>
              <w:pStyle w:val="TableText"/>
            </w:pPr>
            <w:r>
              <w:t>Booz Allen Hamilton</w:t>
            </w:r>
          </w:p>
        </w:tc>
      </w:tr>
      <w:tr w:rsidR="00C84BD0" w:rsidTr="00CD40E2">
        <w:trPr>
          <w:cantSplit/>
        </w:trPr>
        <w:tc>
          <w:tcPr>
            <w:tcW w:w="894" w:type="pct"/>
            <w:tcBorders>
              <w:top w:val="single" w:sz="4" w:space="0" w:color="000000"/>
              <w:left w:val="single" w:sz="4" w:space="0" w:color="000000"/>
              <w:bottom w:val="single" w:sz="4" w:space="0" w:color="000000"/>
              <w:right w:val="single" w:sz="4" w:space="0" w:color="000000"/>
            </w:tcBorders>
          </w:tcPr>
          <w:p w:rsidR="00C84BD0" w:rsidRDefault="00C84BD0" w:rsidP="00C84BD0">
            <w:pPr>
              <w:pStyle w:val="TableText"/>
            </w:pPr>
            <w:r>
              <w:t>06/16/2017</w:t>
            </w:r>
          </w:p>
        </w:tc>
        <w:tc>
          <w:tcPr>
            <w:tcW w:w="606" w:type="pct"/>
            <w:tcBorders>
              <w:top w:val="single" w:sz="4" w:space="0" w:color="000000"/>
              <w:left w:val="single" w:sz="4" w:space="0" w:color="000000"/>
              <w:bottom w:val="single" w:sz="4" w:space="0" w:color="000000"/>
              <w:right w:val="single" w:sz="4" w:space="0" w:color="000000"/>
            </w:tcBorders>
          </w:tcPr>
          <w:p w:rsidR="00C84BD0" w:rsidRDefault="00C84BD0" w:rsidP="00C84BD0">
            <w:pPr>
              <w:pStyle w:val="TableText"/>
            </w:pPr>
            <w:r>
              <w:t>3.0</w:t>
            </w:r>
          </w:p>
        </w:tc>
        <w:tc>
          <w:tcPr>
            <w:tcW w:w="2292" w:type="pct"/>
            <w:tcBorders>
              <w:top w:val="single" w:sz="4" w:space="0" w:color="000000"/>
              <w:left w:val="single" w:sz="4" w:space="0" w:color="000000"/>
              <w:bottom w:val="single" w:sz="4" w:space="0" w:color="000000"/>
              <w:right w:val="single" w:sz="4" w:space="0" w:color="000000"/>
            </w:tcBorders>
          </w:tcPr>
          <w:p w:rsidR="00C84BD0" w:rsidRDefault="00C84BD0" w:rsidP="00C84BD0">
            <w:pPr>
              <w:pStyle w:val="TableText"/>
            </w:pPr>
            <w:r>
              <w:t>Release 3</w:t>
            </w:r>
          </w:p>
        </w:tc>
        <w:tc>
          <w:tcPr>
            <w:tcW w:w="1208" w:type="pct"/>
            <w:tcBorders>
              <w:top w:val="single" w:sz="4" w:space="0" w:color="000000"/>
              <w:left w:val="single" w:sz="4" w:space="0" w:color="000000"/>
              <w:bottom w:val="single" w:sz="4" w:space="0" w:color="000000"/>
              <w:right w:val="single" w:sz="4" w:space="0" w:color="000000"/>
            </w:tcBorders>
          </w:tcPr>
          <w:p w:rsidR="00C84BD0" w:rsidRDefault="00C84BD0" w:rsidP="00C84BD0">
            <w:pPr>
              <w:pStyle w:val="TableText"/>
            </w:pPr>
            <w:r>
              <w:t>Booz Allen Hamilton</w:t>
            </w:r>
          </w:p>
        </w:tc>
      </w:tr>
    </w:tbl>
    <w:p w:rsidR="008F56F7" w:rsidRDefault="008F56F7" w:rsidP="00216EEA">
      <w:pPr>
        <w:pStyle w:val="Title2"/>
      </w:pPr>
    </w:p>
    <w:p w:rsidR="00216EEA" w:rsidRPr="00216EEA" w:rsidRDefault="00216EEA" w:rsidP="00510F16">
      <w:pPr>
        <w:pStyle w:val="Title2"/>
        <w:spacing w:after="360"/>
      </w:pPr>
      <w:r w:rsidRPr="00216EEA">
        <w:t>Artifact Rationale</w:t>
      </w:r>
    </w:p>
    <w:p w:rsidR="00216EEA" w:rsidRPr="00CD40E2" w:rsidRDefault="00154ABE" w:rsidP="00216EEA">
      <w:pPr>
        <w:pStyle w:val="BodyText"/>
        <w:rPr>
          <w:szCs w:val="24"/>
        </w:rPr>
      </w:pPr>
      <w:r w:rsidRPr="00CD40E2">
        <w:rPr>
          <w:szCs w:val="24"/>
        </w:rPr>
        <w:t xml:space="preserve">The </w:t>
      </w:r>
      <w:r w:rsidR="00216EEA" w:rsidRPr="00CD40E2">
        <w:rPr>
          <w:szCs w:val="24"/>
        </w:rPr>
        <w:t xml:space="preserve">Operational Acceptance Plan </w:t>
      </w:r>
      <w:r w:rsidR="00510F16" w:rsidRPr="00CD40E2">
        <w:rPr>
          <w:szCs w:val="24"/>
        </w:rPr>
        <w:t xml:space="preserve">(OAP) </w:t>
      </w:r>
      <w:r w:rsidR="00216EEA" w:rsidRPr="00CD40E2">
        <w:rPr>
          <w:szCs w:val="24"/>
        </w:rPr>
        <w:t>enables an organization to document a project’s challenges and successes to understand causes of difficulties and to achieve greater success in the future. The benefits of looking back at past experience include process improvement, risk management, and other project activities. This facilitates the organization’s continuous improvement.</w:t>
      </w:r>
    </w:p>
    <w:p w:rsidR="00216EEA" w:rsidRPr="00216EEA" w:rsidRDefault="00216EEA" w:rsidP="00216EEA">
      <w:pPr>
        <w:spacing w:before="120" w:after="120"/>
        <w:jc w:val="center"/>
        <w:rPr>
          <w:rFonts w:ascii="Arial" w:hAnsi="Arial" w:cs="Arial"/>
          <w:b/>
          <w:bCs/>
          <w:color w:val="auto"/>
          <w:sz w:val="28"/>
          <w:szCs w:val="32"/>
        </w:rPr>
      </w:pPr>
    </w:p>
    <w:p w:rsidR="00BF2C5A" w:rsidRDefault="00BF2C5A" w:rsidP="00BF2C5A">
      <w:pPr>
        <w:pStyle w:val="BodyText"/>
      </w:pPr>
    </w:p>
    <w:p w:rsidR="00BF2C5A" w:rsidRDefault="00BF2C5A">
      <w:pPr>
        <w:rPr>
          <w:sz w:val="24"/>
          <w:szCs w:val="20"/>
        </w:rPr>
      </w:pPr>
      <w:r>
        <w:br w:type="page"/>
      </w:r>
    </w:p>
    <w:p w:rsidR="004F3A80" w:rsidRDefault="004F3A80" w:rsidP="00647B03">
      <w:pPr>
        <w:pStyle w:val="Title2"/>
      </w:pPr>
      <w:r>
        <w:lastRenderedPageBreak/>
        <w:t>Table of Contents</w:t>
      </w:r>
    </w:p>
    <w:p w:rsidR="00603A76" w:rsidRDefault="005A6D5B">
      <w:pPr>
        <w:pStyle w:val="TOC1"/>
        <w:rPr>
          <w:rFonts w:asciiTheme="minorHAnsi" w:eastAsiaTheme="minorEastAsia" w:hAnsiTheme="minorHAnsi" w:cstheme="minorBidi"/>
          <w:b w:val="0"/>
          <w:noProof/>
          <w:color w:val="auto"/>
          <w:sz w:val="22"/>
          <w:szCs w:val="22"/>
        </w:rPr>
      </w:pPr>
      <w:r>
        <w:fldChar w:fldCharType="begin"/>
      </w:r>
      <w:r>
        <w:instrText xml:space="preserve"> TOC \o "1-1" \h \z \t "Heading 2,2,Heading 3,3,Subtitle,2" </w:instrText>
      </w:r>
      <w:r>
        <w:fldChar w:fldCharType="separate"/>
      </w:r>
      <w:hyperlink w:anchor="_Toc485322791" w:history="1">
        <w:r w:rsidR="00603A76" w:rsidRPr="002E1A27">
          <w:rPr>
            <w:rStyle w:val="Hyperlink"/>
            <w:noProof/>
          </w:rPr>
          <w:t>1.</w:t>
        </w:r>
        <w:r w:rsidR="00603A76">
          <w:rPr>
            <w:rFonts w:asciiTheme="minorHAnsi" w:eastAsiaTheme="minorEastAsia" w:hAnsiTheme="minorHAnsi" w:cstheme="minorBidi"/>
            <w:b w:val="0"/>
            <w:noProof/>
            <w:color w:val="auto"/>
            <w:sz w:val="22"/>
            <w:szCs w:val="22"/>
          </w:rPr>
          <w:tab/>
        </w:r>
        <w:r w:rsidR="00603A76" w:rsidRPr="002E1A27">
          <w:rPr>
            <w:rStyle w:val="Hyperlink"/>
            <w:noProof/>
          </w:rPr>
          <w:t>Product / Project Description</w:t>
        </w:r>
        <w:r w:rsidR="00603A76">
          <w:rPr>
            <w:noProof/>
            <w:webHidden/>
          </w:rPr>
          <w:tab/>
        </w:r>
        <w:r w:rsidR="00603A76">
          <w:rPr>
            <w:noProof/>
            <w:webHidden/>
          </w:rPr>
          <w:fldChar w:fldCharType="begin"/>
        </w:r>
        <w:r w:rsidR="00603A76">
          <w:rPr>
            <w:noProof/>
            <w:webHidden/>
          </w:rPr>
          <w:instrText xml:space="preserve"> PAGEREF _Toc485322791 \h </w:instrText>
        </w:r>
        <w:r w:rsidR="00603A76">
          <w:rPr>
            <w:noProof/>
            <w:webHidden/>
          </w:rPr>
        </w:r>
        <w:r w:rsidR="00603A76">
          <w:rPr>
            <w:noProof/>
            <w:webHidden/>
          </w:rPr>
          <w:fldChar w:fldCharType="separate"/>
        </w:r>
        <w:r w:rsidR="00603A76">
          <w:rPr>
            <w:noProof/>
            <w:webHidden/>
          </w:rPr>
          <w:t>1</w:t>
        </w:r>
        <w:r w:rsidR="00603A76">
          <w:rPr>
            <w:noProof/>
            <w:webHidden/>
          </w:rPr>
          <w:fldChar w:fldCharType="end"/>
        </w:r>
      </w:hyperlink>
    </w:p>
    <w:p w:rsidR="00603A76" w:rsidRDefault="00C525C3">
      <w:pPr>
        <w:pStyle w:val="TOC1"/>
        <w:rPr>
          <w:rFonts w:asciiTheme="minorHAnsi" w:eastAsiaTheme="minorEastAsia" w:hAnsiTheme="minorHAnsi" w:cstheme="minorBidi"/>
          <w:b w:val="0"/>
          <w:noProof/>
          <w:color w:val="auto"/>
          <w:sz w:val="22"/>
          <w:szCs w:val="22"/>
        </w:rPr>
      </w:pPr>
      <w:hyperlink w:anchor="_Toc485322792" w:history="1">
        <w:r w:rsidR="00603A76" w:rsidRPr="002E1A27">
          <w:rPr>
            <w:rStyle w:val="Hyperlink"/>
            <w:noProof/>
          </w:rPr>
          <w:t>2.</w:t>
        </w:r>
        <w:r w:rsidR="00603A76">
          <w:rPr>
            <w:rFonts w:asciiTheme="minorHAnsi" w:eastAsiaTheme="minorEastAsia" w:hAnsiTheme="minorHAnsi" w:cstheme="minorBidi"/>
            <w:b w:val="0"/>
            <w:noProof/>
            <w:color w:val="auto"/>
            <w:sz w:val="22"/>
            <w:szCs w:val="22"/>
          </w:rPr>
          <w:tab/>
        </w:r>
        <w:r w:rsidR="00603A76" w:rsidRPr="002E1A27">
          <w:rPr>
            <w:rStyle w:val="Hyperlink"/>
            <w:noProof/>
          </w:rPr>
          <w:t>Product / Project Document/Artifact Repository</w:t>
        </w:r>
        <w:r w:rsidR="00603A76">
          <w:rPr>
            <w:noProof/>
            <w:webHidden/>
          </w:rPr>
          <w:tab/>
        </w:r>
        <w:r w:rsidR="00603A76">
          <w:rPr>
            <w:noProof/>
            <w:webHidden/>
          </w:rPr>
          <w:fldChar w:fldCharType="begin"/>
        </w:r>
        <w:r w:rsidR="00603A76">
          <w:rPr>
            <w:noProof/>
            <w:webHidden/>
          </w:rPr>
          <w:instrText xml:space="preserve"> PAGEREF _Toc485322792 \h </w:instrText>
        </w:r>
        <w:r w:rsidR="00603A76">
          <w:rPr>
            <w:noProof/>
            <w:webHidden/>
          </w:rPr>
        </w:r>
        <w:r w:rsidR="00603A76">
          <w:rPr>
            <w:noProof/>
            <w:webHidden/>
          </w:rPr>
          <w:fldChar w:fldCharType="separate"/>
        </w:r>
        <w:r w:rsidR="00603A76">
          <w:rPr>
            <w:noProof/>
            <w:webHidden/>
          </w:rPr>
          <w:t>3</w:t>
        </w:r>
        <w:r w:rsidR="00603A76">
          <w:rPr>
            <w:noProof/>
            <w:webHidden/>
          </w:rPr>
          <w:fldChar w:fldCharType="end"/>
        </w:r>
      </w:hyperlink>
    </w:p>
    <w:p w:rsidR="00603A76" w:rsidRDefault="00C525C3">
      <w:pPr>
        <w:pStyle w:val="TOC1"/>
        <w:rPr>
          <w:rFonts w:asciiTheme="minorHAnsi" w:eastAsiaTheme="minorEastAsia" w:hAnsiTheme="minorHAnsi" w:cstheme="minorBidi"/>
          <w:b w:val="0"/>
          <w:noProof/>
          <w:color w:val="auto"/>
          <w:sz w:val="22"/>
          <w:szCs w:val="22"/>
        </w:rPr>
      </w:pPr>
      <w:hyperlink w:anchor="_Toc485322793" w:history="1">
        <w:r w:rsidR="00603A76" w:rsidRPr="002E1A27">
          <w:rPr>
            <w:rStyle w:val="Hyperlink"/>
            <w:noProof/>
          </w:rPr>
          <w:t>3.</w:t>
        </w:r>
        <w:r w:rsidR="00603A76">
          <w:rPr>
            <w:rFonts w:asciiTheme="minorHAnsi" w:eastAsiaTheme="minorEastAsia" w:hAnsiTheme="minorHAnsi" w:cstheme="minorBidi"/>
            <w:b w:val="0"/>
            <w:noProof/>
            <w:color w:val="auto"/>
            <w:sz w:val="22"/>
            <w:szCs w:val="22"/>
          </w:rPr>
          <w:tab/>
        </w:r>
        <w:r w:rsidR="00603A76" w:rsidRPr="002E1A27">
          <w:rPr>
            <w:rStyle w:val="Hyperlink"/>
            <w:noProof/>
          </w:rPr>
          <w:t>Assessment &amp; Authorization SMART Status</w:t>
        </w:r>
        <w:r w:rsidR="00603A76">
          <w:rPr>
            <w:noProof/>
            <w:webHidden/>
          </w:rPr>
          <w:tab/>
        </w:r>
        <w:r w:rsidR="00603A76">
          <w:rPr>
            <w:noProof/>
            <w:webHidden/>
          </w:rPr>
          <w:fldChar w:fldCharType="begin"/>
        </w:r>
        <w:r w:rsidR="00603A76">
          <w:rPr>
            <w:noProof/>
            <w:webHidden/>
          </w:rPr>
          <w:instrText xml:space="preserve"> PAGEREF _Toc485322793 \h </w:instrText>
        </w:r>
        <w:r w:rsidR="00603A76">
          <w:rPr>
            <w:noProof/>
            <w:webHidden/>
          </w:rPr>
        </w:r>
        <w:r w:rsidR="00603A76">
          <w:rPr>
            <w:noProof/>
            <w:webHidden/>
          </w:rPr>
          <w:fldChar w:fldCharType="separate"/>
        </w:r>
        <w:r w:rsidR="00603A76">
          <w:rPr>
            <w:noProof/>
            <w:webHidden/>
          </w:rPr>
          <w:t>3</w:t>
        </w:r>
        <w:r w:rsidR="00603A76">
          <w:rPr>
            <w:noProof/>
            <w:webHidden/>
          </w:rPr>
          <w:fldChar w:fldCharType="end"/>
        </w:r>
      </w:hyperlink>
    </w:p>
    <w:p w:rsidR="00603A76" w:rsidRDefault="00C525C3">
      <w:pPr>
        <w:pStyle w:val="TOC1"/>
        <w:rPr>
          <w:rFonts w:asciiTheme="minorHAnsi" w:eastAsiaTheme="minorEastAsia" w:hAnsiTheme="minorHAnsi" w:cstheme="minorBidi"/>
          <w:b w:val="0"/>
          <w:noProof/>
          <w:color w:val="auto"/>
          <w:sz w:val="22"/>
          <w:szCs w:val="22"/>
        </w:rPr>
      </w:pPr>
      <w:hyperlink w:anchor="_Toc485322794" w:history="1">
        <w:r w:rsidR="00603A76" w:rsidRPr="002E1A27">
          <w:rPr>
            <w:rStyle w:val="Hyperlink"/>
            <w:noProof/>
          </w:rPr>
          <w:t>4.</w:t>
        </w:r>
        <w:r w:rsidR="00603A76">
          <w:rPr>
            <w:rFonts w:asciiTheme="minorHAnsi" w:eastAsiaTheme="minorEastAsia" w:hAnsiTheme="minorHAnsi" w:cstheme="minorBidi"/>
            <w:b w:val="0"/>
            <w:noProof/>
            <w:color w:val="auto"/>
            <w:sz w:val="22"/>
            <w:szCs w:val="22"/>
          </w:rPr>
          <w:tab/>
        </w:r>
        <w:r w:rsidR="00603A76" w:rsidRPr="002E1A27">
          <w:rPr>
            <w:rStyle w:val="Hyperlink"/>
            <w:noProof/>
          </w:rPr>
          <w:t>Physical Support Requirements</w:t>
        </w:r>
        <w:r w:rsidR="00603A76">
          <w:rPr>
            <w:noProof/>
            <w:webHidden/>
          </w:rPr>
          <w:tab/>
        </w:r>
        <w:r w:rsidR="00603A76">
          <w:rPr>
            <w:noProof/>
            <w:webHidden/>
          </w:rPr>
          <w:fldChar w:fldCharType="begin"/>
        </w:r>
        <w:r w:rsidR="00603A76">
          <w:rPr>
            <w:noProof/>
            <w:webHidden/>
          </w:rPr>
          <w:instrText xml:space="preserve"> PAGEREF _Toc485322794 \h </w:instrText>
        </w:r>
        <w:r w:rsidR="00603A76">
          <w:rPr>
            <w:noProof/>
            <w:webHidden/>
          </w:rPr>
        </w:r>
        <w:r w:rsidR="00603A76">
          <w:rPr>
            <w:noProof/>
            <w:webHidden/>
          </w:rPr>
          <w:fldChar w:fldCharType="separate"/>
        </w:r>
        <w:r w:rsidR="00603A76">
          <w:rPr>
            <w:noProof/>
            <w:webHidden/>
          </w:rPr>
          <w:t>4</w:t>
        </w:r>
        <w:r w:rsidR="00603A76">
          <w:rPr>
            <w:noProof/>
            <w:webHidden/>
          </w:rPr>
          <w:fldChar w:fldCharType="end"/>
        </w:r>
      </w:hyperlink>
    </w:p>
    <w:p w:rsidR="00603A76" w:rsidRDefault="00C525C3">
      <w:pPr>
        <w:pStyle w:val="TOC1"/>
        <w:rPr>
          <w:rFonts w:asciiTheme="minorHAnsi" w:eastAsiaTheme="minorEastAsia" w:hAnsiTheme="minorHAnsi" w:cstheme="minorBidi"/>
          <w:b w:val="0"/>
          <w:noProof/>
          <w:color w:val="auto"/>
          <w:sz w:val="22"/>
          <w:szCs w:val="22"/>
        </w:rPr>
      </w:pPr>
      <w:hyperlink w:anchor="_Toc485322795" w:history="1">
        <w:r w:rsidR="00603A76" w:rsidRPr="002E1A27">
          <w:rPr>
            <w:rStyle w:val="Hyperlink"/>
            <w:noProof/>
          </w:rPr>
          <w:t>5.</w:t>
        </w:r>
        <w:r w:rsidR="00603A76">
          <w:rPr>
            <w:rFonts w:asciiTheme="minorHAnsi" w:eastAsiaTheme="minorEastAsia" w:hAnsiTheme="minorHAnsi" w:cstheme="minorBidi"/>
            <w:b w:val="0"/>
            <w:noProof/>
            <w:color w:val="auto"/>
            <w:sz w:val="22"/>
            <w:szCs w:val="22"/>
          </w:rPr>
          <w:tab/>
        </w:r>
        <w:r w:rsidR="00603A76" w:rsidRPr="002E1A27">
          <w:rPr>
            <w:rStyle w:val="Hyperlink"/>
            <w:noProof/>
          </w:rPr>
          <w:t>Primary Operational Support Entities &amp; FTE</w:t>
        </w:r>
        <w:r w:rsidR="00603A76">
          <w:rPr>
            <w:noProof/>
            <w:webHidden/>
          </w:rPr>
          <w:tab/>
        </w:r>
        <w:r w:rsidR="00603A76">
          <w:rPr>
            <w:noProof/>
            <w:webHidden/>
          </w:rPr>
          <w:fldChar w:fldCharType="begin"/>
        </w:r>
        <w:r w:rsidR="00603A76">
          <w:rPr>
            <w:noProof/>
            <w:webHidden/>
          </w:rPr>
          <w:instrText xml:space="preserve"> PAGEREF _Toc485322795 \h </w:instrText>
        </w:r>
        <w:r w:rsidR="00603A76">
          <w:rPr>
            <w:noProof/>
            <w:webHidden/>
          </w:rPr>
        </w:r>
        <w:r w:rsidR="00603A76">
          <w:rPr>
            <w:noProof/>
            <w:webHidden/>
          </w:rPr>
          <w:fldChar w:fldCharType="separate"/>
        </w:r>
        <w:r w:rsidR="00603A76">
          <w:rPr>
            <w:noProof/>
            <w:webHidden/>
          </w:rPr>
          <w:t>8</w:t>
        </w:r>
        <w:r w:rsidR="00603A76">
          <w:rPr>
            <w:noProof/>
            <w:webHidden/>
          </w:rPr>
          <w:fldChar w:fldCharType="end"/>
        </w:r>
      </w:hyperlink>
    </w:p>
    <w:p w:rsidR="00603A76" w:rsidRDefault="00C525C3">
      <w:pPr>
        <w:pStyle w:val="TOC1"/>
        <w:rPr>
          <w:rFonts w:asciiTheme="minorHAnsi" w:eastAsiaTheme="minorEastAsia" w:hAnsiTheme="minorHAnsi" w:cstheme="minorBidi"/>
          <w:b w:val="0"/>
          <w:noProof/>
          <w:color w:val="auto"/>
          <w:sz w:val="22"/>
          <w:szCs w:val="22"/>
        </w:rPr>
      </w:pPr>
      <w:hyperlink w:anchor="_Toc485322796" w:history="1">
        <w:r w:rsidR="00603A76" w:rsidRPr="002E1A27">
          <w:rPr>
            <w:rStyle w:val="Hyperlink"/>
            <w:noProof/>
          </w:rPr>
          <w:t>6.</w:t>
        </w:r>
        <w:r w:rsidR="00603A76">
          <w:rPr>
            <w:rFonts w:asciiTheme="minorHAnsi" w:eastAsiaTheme="minorEastAsia" w:hAnsiTheme="minorHAnsi" w:cstheme="minorBidi"/>
            <w:b w:val="0"/>
            <w:noProof/>
            <w:color w:val="auto"/>
            <w:sz w:val="22"/>
            <w:szCs w:val="22"/>
          </w:rPr>
          <w:tab/>
        </w:r>
        <w:r w:rsidR="00603A76" w:rsidRPr="002E1A27">
          <w:rPr>
            <w:rStyle w:val="Hyperlink"/>
            <w:noProof/>
          </w:rPr>
          <w:t>Responsibility Matrix (Operational Roles and Responsibilities)</w:t>
        </w:r>
        <w:r w:rsidR="00603A76">
          <w:rPr>
            <w:noProof/>
            <w:webHidden/>
          </w:rPr>
          <w:tab/>
        </w:r>
        <w:r w:rsidR="00603A76">
          <w:rPr>
            <w:noProof/>
            <w:webHidden/>
          </w:rPr>
          <w:fldChar w:fldCharType="begin"/>
        </w:r>
        <w:r w:rsidR="00603A76">
          <w:rPr>
            <w:noProof/>
            <w:webHidden/>
          </w:rPr>
          <w:instrText xml:space="preserve"> PAGEREF _Toc485322796 \h </w:instrText>
        </w:r>
        <w:r w:rsidR="00603A76">
          <w:rPr>
            <w:noProof/>
            <w:webHidden/>
          </w:rPr>
        </w:r>
        <w:r w:rsidR="00603A76">
          <w:rPr>
            <w:noProof/>
            <w:webHidden/>
          </w:rPr>
          <w:fldChar w:fldCharType="separate"/>
        </w:r>
        <w:r w:rsidR="00603A76">
          <w:rPr>
            <w:noProof/>
            <w:webHidden/>
          </w:rPr>
          <w:t>9</w:t>
        </w:r>
        <w:r w:rsidR="00603A76">
          <w:rPr>
            <w:noProof/>
            <w:webHidden/>
          </w:rPr>
          <w:fldChar w:fldCharType="end"/>
        </w:r>
      </w:hyperlink>
    </w:p>
    <w:p w:rsidR="00603A76" w:rsidRDefault="00C525C3">
      <w:pPr>
        <w:pStyle w:val="TOC1"/>
        <w:rPr>
          <w:rFonts w:asciiTheme="minorHAnsi" w:eastAsiaTheme="minorEastAsia" w:hAnsiTheme="minorHAnsi" w:cstheme="minorBidi"/>
          <w:b w:val="0"/>
          <w:noProof/>
          <w:color w:val="auto"/>
          <w:sz w:val="22"/>
          <w:szCs w:val="22"/>
        </w:rPr>
      </w:pPr>
      <w:hyperlink w:anchor="_Toc485322797" w:history="1">
        <w:r w:rsidR="00603A76" w:rsidRPr="002E1A27">
          <w:rPr>
            <w:rStyle w:val="Hyperlink"/>
            <w:noProof/>
          </w:rPr>
          <w:t>7.</w:t>
        </w:r>
        <w:r w:rsidR="00603A76">
          <w:rPr>
            <w:rFonts w:asciiTheme="minorHAnsi" w:eastAsiaTheme="minorEastAsia" w:hAnsiTheme="minorHAnsi" w:cstheme="minorBidi"/>
            <w:b w:val="0"/>
            <w:noProof/>
            <w:color w:val="auto"/>
            <w:sz w:val="22"/>
            <w:szCs w:val="22"/>
          </w:rPr>
          <w:tab/>
        </w:r>
        <w:r w:rsidR="00603A76" w:rsidRPr="002E1A27">
          <w:rPr>
            <w:rStyle w:val="Hyperlink"/>
            <w:noProof/>
          </w:rPr>
          <w:t>Recurring Contracts, Licenses, and Warranties</w:t>
        </w:r>
        <w:r w:rsidR="00603A76">
          <w:rPr>
            <w:noProof/>
            <w:webHidden/>
          </w:rPr>
          <w:tab/>
        </w:r>
        <w:r w:rsidR="00603A76">
          <w:rPr>
            <w:noProof/>
            <w:webHidden/>
          </w:rPr>
          <w:fldChar w:fldCharType="begin"/>
        </w:r>
        <w:r w:rsidR="00603A76">
          <w:rPr>
            <w:noProof/>
            <w:webHidden/>
          </w:rPr>
          <w:instrText xml:space="preserve"> PAGEREF _Toc485322797 \h </w:instrText>
        </w:r>
        <w:r w:rsidR="00603A76">
          <w:rPr>
            <w:noProof/>
            <w:webHidden/>
          </w:rPr>
        </w:r>
        <w:r w:rsidR="00603A76">
          <w:rPr>
            <w:noProof/>
            <w:webHidden/>
          </w:rPr>
          <w:fldChar w:fldCharType="separate"/>
        </w:r>
        <w:r w:rsidR="00603A76">
          <w:rPr>
            <w:noProof/>
            <w:webHidden/>
          </w:rPr>
          <w:t>11</w:t>
        </w:r>
        <w:r w:rsidR="00603A76">
          <w:rPr>
            <w:noProof/>
            <w:webHidden/>
          </w:rPr>
          <w:fldChar w:fldCharType="end"/>
        </w:r>
      </w:hyperlink>
    </w:p>
    <w:p w:rsidR="00603A76" w:rsidRDefault="00C525C3">
      <w:pPr>
        <w:pStyle w:val="TOC1"/>
        <w:rPr>
          <w:rFonts w:asciiTheme="minorHAnsi" w:eastAsiaTheme="minorEastAsia" w:hAnsiTheme="minorHAnsi" w:cstheme="minorBidi"/>
          <w:b w:val="0"/>
          <w:noProof/>
          <w:color w:val="auto"/>
          <w:sz w:val="22"/>
          <w:szCs w:val="22"/>
        </w:rPr>
      </w:pPr>
      <w:hyperlink w:anchor="_Toc485322798" w:history="1">
        <w:r w:rsidR="00603A76" w:rsidRPr="002E1A27">
          <w:rPr>
            <w:rStyle w:val="Hyperlink"/>
            <w:noProof/>
          </w:rPr>
          <w:t>8.</w:t>
        </w:r>
        <w:r w:rsidR="00603A76">
          <w:rPr>
            <w:rFonts w:asciiTheme="minorHAnsi" w:eastAsiaTheme="minorEastAsia" w:hAnsiTheme="minorHAnsi" w:cstheme="minorBidi"/>
            <w:b w:val="0"/>
            <w:noProof/>
            <w:color w:val="auto"/>
            <w:sz w:val="22"/>
            <w:szCs w:val="22"/>
          </w:rPr>
          <w:tab/>
        </w:r>
        <w:r w:rsidR="00603A76" w:rsidRPr="002E1A27">
          <w:rPr>
            <w:rStyle w:val="Hyperlink"/>
            <w:noProof/>
          </w:rPr>
          <w:t>Electronic Inventory List and Asset Management</w:t>
        </w:r>
        <w:r w:rsidR="00603A76">
          <w:rPr>
            <w:noProof/>
            <w:webHidden/>
          </w:rPr>
          <w:tab/>
        </w:r>
        <w:r w:rsidR="00603A76">
          <w:rPr>
            <w:noProof/>
            <w:webHidden/>
          </w:rPr>
          <w:fldChar w:fldCharType="begin"/>
        </w:r>
        <w:r w:rsidR="00603A76">
          <w:rPr>
            <w:noProof/>
            <w:webHidden/>
          </w:rPr>
          <w:instrText xml:space="preserve"> PAGEREF _Toc485322798 \h </w:instrText>
        </w:r>
        <w:r w:rsidR="00603A76">
          <w:rPr>
            <w:noProof/>
            <w:webHidden/>
          </w:rPr>
        </w:r>
        <w:r w:rsidR="00603A76">
          <w:rPr>
            <w:noProof/>
            <w:webHidden/>
          </w:rPr>
          <w:fldChar w:fldCharType="separate"/>
        </w:r>
        <w:r w:rsidR="00603A76">
          <w:rPr>
            <w:noProof/>
            <w:webHidden/>
          </w:rPr>
          <w:t>16</w:t>
        </w:r>
        <w:r w:rsidR="00603A76">
          <w:rPr>
            <w:noProof/>
            <w:webHidden/>
          </w:rPr>
          <w:fldChar w:fldCharType="end"/>
        </w:r>
      </w:hyperlink>
    </w:p>
    <w:p w:rsidR="00603A76" w:rsidRDefault="00C525C3">
      <w:pPr>
        <w:pStyle w:val="TOC1"/>
        <w:rPr>
          <w:rFonts w:asciiTheme="minorHAnsi" w:eastAsiaTheme="minorEastAsia" w:hAnsiTheme="minorHAnsi" w:cstheme="minorBidi"/>
          <w:b w:val="0"/>
          <w:noProof/>
          <w:color w:val="auto"/>
          <w:sz w:val="22"/>
          <w:szCs w:val="22"/>
        </w:rPr>
      </w:pPr>
      <w:hyperlink w:anchor="_Toc485322799" w:history="1">
        <w:r w:rsidR="00603A76" w:rsidRPr="002E1A27">
          <w:rPr>
            <w:rStyle w:val="Hyperlink"/>
            <w:noProof/>
          </w:rPr>
          <w:t>9.</w:t>
        </w:r>
        <w:r w:rsidR="00603A76">
          <w:rPr>
            <w:rFonts w:asciiTheme="minorHAnsi" w:eastAsiaTheme="minorEastAsia" w:hAnsiTheme="minorHAnsi" w:cstheme="minorBidi"/>
            <w:b w:val="0"/>
            <w:noProof/>
            <w:color w:val="auto"/>
            <w:sz w:val="22"/>
            <w:szCs w:val="22"/>
          </w:rPr>
          <w:tab/>
        </w:r>
        <w:r w:rsidR="00603A76" w:rsidRPr="002E1A27">
          <w:rPr>
            <w:rStyle w:val="Hyperlink"/>
            <w:noProof/>
          </w:rPr>
          <w:t>Service Level Requirements</w:t>
        </w:r>
        <w:r w:rsidR="00603A76">
          <w:rPr>
            <w:noProof/>
            <w:webHidden/>
          </w:rPr>
          <w:tab/>
        </w:r>
        <w:r w:rsidR="00603A76">
          <w:rPr>
            <w:noProof/>
            <w:webHidden/>
          </w:rPr>
          <w:fldChar w:fldCharType="begin"/>
        </w:r>
        <w:r w:rsidR="00603A76">
          <w:rPr>
            <w:noProof/>
            <w:webHidden/>
          </w:rPr>
          <w:instrText xml:space="preserve"> PAGEREF _Toc485322799 \h </w:instrText>
        </w:r>
        <w:r w:rsidR="00603A76">
          <w:rPr>
            <w:noProof/>
            <w:webHidden/>
          </w:rPr>
        </w:r>
        <w:r w:rsidR="00603A76">
          <w:rPr>
            <w:noProof/>
            <w:webHidden/>
          </w:rPr>
          <w:fldChar w:fldCharType="separate"/>
        </w:r>
        <w:r w:rsidR="00603A76">
          <w:rPr>
            <w:noProof/>
            <w:webHidden/>
          </w:rPr>
          <w:t>16</w:t>
        </w:r>
        <w:r w:rsidR="00603A76">
          <w:rPr>
            <w:noProof/>
            <w:webHidden/>
          </w:rPr>
          <w:fldChar w:fldCharType="end"/>
        </w:r>
      </w:hyperlink>
    </w:p>
    <w:p w:rsidR="00603A76" w:rsidRDefault="00C525C3">
      <w:pPr>
        <w:pStyle w:val="TOC1"/>
        <w:rPr>
          <w:rFonts w:asciiTheme="minorHAnsi" w:eastAsiaTheme="minorEastAsia" w:hAnsiTheme="minorHAnsi" w:cstheme="minorBidi"/>
          <w:b w:val="0"/>
          <w:noProof/>
          <w:color w:val="auto"/>
          <w:sz w:val="22"/>
          <w:szCs w:val="22"/>
        </w:rPr>
      </w:pPr>
      <w:hyperlink w:anchor="_Toc485322800" w:history="1">
        <w:r w:rsidR="00603A76" w:rsidRPr="002E1A27">
          <w:rPr>
            <w:rStyle w:val="Hyperlink"/>
            <w:noProof/>
          </w:rPr>
          <w:t>10.</w:t>
        </w:r>
        <w:r w:rsidR="00603A76">
          <w:rPr>
            <w:rFonts w:asciiTheme="minorHAnsi" w:eastAsiaTheme="minorEastAsia" w:hAnsiTheme="minorHAnsi" w:cstheme="minorBidi"/>
            <w:b w:val="0"/>
            <w:noProof/>
            <w:color w:val="auto"/>
            <w:sz w:val="22"/>
            <w:szCs w:val="22"/>
          </w:rPr>
          <w:tab/>
        </w:r>
        <w:r w:rsidR="00603A76" w:rsidRPr="002E1A27">
          <w:rPr>
            <w:rStyle w:val="Hyperlink"/>
            <w:noProof/>
          </w:rPr>
          <w:t>End User Support and Training</w:t>
        </w:r>
        <w:r w:rsidR="00603A76">
          <w:rPr>
            <w:noProof/>
            <w:webHidden/>
          </w:rPr>
          <w:tab/>
        </w:r>
        <w:r w:rsidR="00603A76">
          <w:rPr>
            <w:noProof/>
            <w:webHidden/>
          </w:rPr>
          <w:fldChar w:fldCharType="begin"/>
        </w:r>
        <w:r w:rsidR="00603A76">
          <w:rPr>
            <w:noProof/>
            <w:webHidden/>
          </w:rPr>
          <w:instrText xml:space="preserve"> PAGEREF _Toc485322800 \h </w:instrText>
        </w:r>
        <w:r w:rsidR="00603A76">
          <w:rPr>
            <w:noProof/>
            <w:webHidden/>
          </w:rPr>
        </w:r>
        <w:r w:rsidR="00603A76">
          <w:rPr>
            <w:noProof/>
            <w:webHidden/>
          </w:rPr>
          <w:fldChar w:fldCharType="separate"/>
        </w:r>
        <w:r w:rsidR="00603A76">
          <w:rPr>
            <w:noProof/>
            <w:webHidden/>
          </w:rPr>
          <w:t>16</w:t>
        </w:r>
        <w:r w:rsidR="00603A76">
          <w:rPr>
            <w:noProof/>
            <w:webHidden/>
          </w:rPr>
          <w:fldChar w:fldCharType="end"/>
        </w:r>
      </w:hyperlink>
    </w:p>
    <w:p w:rsidR="00603A76" w:rsidRDefault="00C525C3">
      <w:pPr>
        <w:pStyle w:val="TOC1"/>
        <w:rPr>
          <w:rFonts w:asciiTheme="minorHAnsi" w:eastAsiaTheme="minorEastAsia" w:hAnsiTheme="minorHAnsi" w:cstheme="minorBidi"/>
          <w:b w:val="0"/>
          <w:noProof/>
          <w:color w:val="auto"/>
          <w:sz w:val="22"/>
          <w:szCs w:val="22"/>
        </w:rPr>
      </w:pPr>
      <w:hyperlink w:anchor="_Toc485322801" w:history="1">
        <w:r w:rsidR="00603A76" w:rsidRPr="002E1A27">
          <w:rPr>
            <w:rStyle w:val="Hyperlink"/>
            <w:noProof/>
          </w:rPr>
          <w:t>11.</w:t>
        </w:r>
        <w:r w:rsidR="00603A76">
          <w:rPr>
            <w:rFonts w:asciiTheme="minorHAnsi" w:eastAsiaTheme="minorEastAsia" w:hAnsiTheme="minorHAnsi" w:cstheme="minorBidi"/>
            <w:b w:val="0"/>
            <w:noProof/>
            <w:color w:val="auto"/>
            <w:sz w:val="22"/>
            <w:szCs w:val="22"/>
          </w:rPr>
          <w:tab/>
        </w:r>
        <w:r w:rsidR="00603A76" w:rsidRPr="002E1A27">
          <w:rPr>
            <w:rStyle w:val="Hyperlink"/>
            <w:noProof/>
          </w:rPr>
          <w:t>Lifecycle Support Requirements</w:t>
        </w:r>
        <w:r w:rsidR="00603A76">
          <w:rPr>
            <w:noProof/>
            <w:webHidden/>
          </w:rPr>
          <w:tab/>
        </w:r>
        <w:r w:rsidR="00603A76">
          <w:rPr>
            <w:noProof/>
            <w:webHidden/>
          </w:rPr>
          <w:fldChar w:fldCharType="begin"/>
        </w:r>
        <w:r w:rsidR="00603A76">
          <w:rPr>
            <w:noProof/>
            <w:webHidden/>
          </w:rPr>
          <w:instrText xml:space="preserve"> PAGEREF _Toc485322801 \h </w:instrText>
        </w:r>
        <w:r w:rsidR="00603A76">
          <w:rPr>
            <w:noProof/>
            <w:webHidden/>
          </w:rPr>
        </w:r>
        <w:r w:rsidR="00603A76">
          <w:rPr>
            <w:noProof/>
            <w:webHidden/>
          </w:rPr>
          <w:fldChar w:fldCharType="separate"/>
        </w:r>
        <w:r w:rsidR="00603A76">
          <w:rPr>
            <w:noProof/>
            <w:webHidden/>
          </w:rPr>
          <w:t>17</w:t>
        </w:r>
        <w:r w:rsidR="00603A76">
          <w:rPr>
            <w:noProof/>
            <w:webHidden/>
          </w:rPr>
          <w:fldChar w:fldCharType="end"/>
        </w:r>
      </w:hyperlink>
    </w:p>
    <w:p w:rsidR="00603A76" w:rsidRDefault="00C525C3">
      <w:pPr>
        <w:pStyle w:val="TOC1"/>
        <w:rPr>
          <w:rFonts w:asciiTheme="minorHAnsi" w:eastAsiaTheme="minorEastAsia" w:hAnsiTheme="minorHAnsi" w:cstheme="minorBidi"/>
          <w:b w:val="0"/>
          <w:noProof/>
          <w:color w:val="auto"/>
          <w:sz w:val="22"/>
          <w:szCs w:val="22"/>
        </w:rPr>
      </w:pPr>
      <w:hyperlink w:anchor="_Toc485322802" w:history="1">
        <w:r w:rsidR="00603A76" w:rsidRPr="002E1A27">
          <w:rPr>
            <w:rStyle w:val="Hyperlink"/>
            <w:noProof/>
          </w:rPr>
          <w:t>12.</w:t>
        </w:r>
        <w:r w:rsidR="00603A76">
          <w:rPr>
            <w:rFonts w:asciiTheme="minorHAnsi" w:eastAsiaTheme="minorEastAsia" w:hAnsiTheme="minorHAnsi" w:cstheme="minorBidi"/>
            <w:b w:val="0"/>
            <w:noProof/>
            <w:color w:val="auto"/>
            <w:sz w:val="22"/>
            <w:szCs w:val="22"/>
          </w:rPr>
          <w:tab/>
        </w:r>
        <w:r w:rsidR="00603A76" w:rsidRPr="002E1A27">
          <w:rPr>
            <w:rStyle w:val="Hyperlink"/>
            <w:noProof/>
          </w:rPr>
          <w:t>Architecture / Dependencies</w:t>
        </w:r>
        <w:r w:rsidR="00603A76">
          <w:rPr>
            <w:noProof/>
            <w:webHidden/>
          </w:rPr>
          <w:tab/>
        </w:r>
        <w:r w:rsidR="00603A76">
          <w:rPr>
            <w:noProof/>
            <w:webHidden/>
          </w:rPr>
          <w:fldChar w:fldCharType="begin"/>
        </w:r>
        <w:r w:rsidR="00603A76">
          <w:rPr>
            <w:noProof/>
            <w:webHidden/>
          </w:rPr>
          <w:instrText xml:space="preserve"> PAGEREF _Toc485322802 \h </w:instrText>
        </w:r>
        <w:r w:rsidR="00603A76">
          <w:rPr>
            <w:noProof/>
            <w:webHidden/>
          </w:rPr>
        </w:r>
        <w:r w:rsidR="00603A76">
          <w:rPr>
            <w:noProof/>
            <w:webHidden/>
          </w:rPr>
          <w:fldChar w:fldCharType="separate"/>
        </w:r>
        <w:r w:rsidR="00603A76">
          <w:rPr>
            <w:noProof/>
            <w:webHidden/>
          </w:rPr>
          <w:t>17</w:t>
        </w:r>
        <w:r w:rsidR="00603A76">
          <w:rPr>
            <w:noProof/>
            <w:webHidden/>
          </w:rPr>
          <w:fldChar w:fldCharType="end"/>
        </w:r>
      </w:hyperlink>
    </w:p>
    <w:p w:rsidR="00603A76" w:rsidRDefault="00C525C3">
      <w:pPr>
        <w:pStyle w:val="TOC1"/>
        <w:rPr>
          <w:rFonts w:asciiTheme="minorHAnsi" w:eastAsiaTheme="minorEastAsia" w:hAnsiTheme="minorHAnsi" w:cstheme="minorBidi"/>
          <w:b w:val="0"/>
          <w:noProof/>
          <w:color w:val="auto"/>
          <w:sz w:val="22"/>
          <w:szCs w:val="22"/>
        </w:rPr>
      </w:pPr>
      <w:hyperlink w:anchor="_Toc485322803" w:history="1">
        <w:r w:rsidR="00603A76" w:rsidRPr="002E1A27">
          <w:rPr>
            <w:rStyle w:val="Hyperlink"/>
            <w:noProof/>
          </w:rPr>
          <w:t>13.</w:t>
        </w:r>
        <w:r w:rsidR="00603A76">
          <w:rPr>
            <w:rFonts w:asciiTheme="minorHAnsi" w:eastAsiaTheme="minorEastAsia" w:hAnsiTheme="minorHAnsi" w:cstheme="minorBidi"/>
            <w:b w:val="0"/>
            <w:noProof/>
            <w:color w:val="auto"/>
            <w:sz w:val="22"/>
            <w:szCs w:val="22"/>
          </w:rPr>
          <w:tab/>
        </w:r>
        <w:r w:rsidR="00603A76" w:rsidRPr="002E1A27">
          <w:rPr>
            <w:rStyle w:val="Hyperlink"/>
            <w:noProof/>
          </w:rPr>
          <w:t>Anomaly / Risk Summary</w:t>
        </w:r>
        <w:r w:rsidR="00603A76">
          <w:rPr>
            <w:noProof/>
            <w:webHidden/>
          </w:rPr>
          <w:tab/>
        </w:r>
        <w:r w:rsidR="00603A76">
          <w:rPr>
            <w:noProof/>
            <w:webHidden/>
          </w:rPr>
          <w:fldChar w:fldCharType="begin"/>
        </w:r>
        <w:r w:rsidR="00603A76">
          <w:rPr>
            <w:noProof/>
            <w:webHidden/>
          </w:rPr>
          <w:instrText xml:space="preserve"> PAGEREF _Toc485322803 \h </w:instrText>
        </w:r>
        <w:r w:rsidR="00603A76">
          <w:rPr>
            <w:noProof/>
            <w:webHidden/>
          </w:rPr>
        </w:r>
        <w:r w:rsidR="00603A76">
          <w:rPr>
            <w:noProof/>
            <w:webHidden/>
          </w:rPr>
          <w:fldChar w:fldCharType="separate"/>
        </w:r>
        <w:r w:rsidR="00603A76">
          <w:rPr>
            <w:noProof/>
            <w:webHidden/>
          </w:rPr>
          <w:t>17</w:t>
        </w:r>
        <w:r w:rsidR="00603A76">
          <w:rPr>
            <w:noProof/>
            <w:webHidden/>
          </w:rPr>
          <w:fldChar w:fldCharType="end"/>
        </w:r>
      </w:hyperlink>
    </w:p>
    <w:p w:rsidR="00603A76" w:rsidRDefault="00C525C3">
      <w:pPr>
        <w:pStyle w:val="TOC1"/>
        <w:rPr>
          <w:rFonts w:asciiTheme="minorHAnsi" w:eastAsiaTheme="minorEastAsia" w:hAnsiTheme="minorHAnsi" w:cstheme="minorBidi"/>
          <w:b w:val="0"/>
          <w:noProof/>
          <w:color w:val="auto"/>
          <w:sz w:val="22"/>
          <w:szCs w:val="22"/>
        </w:rPr>
      </w:pPr>
      <w:hyperlink w:anchor="_Toc485322804" w:history="1">
        <w:r w:rsidR="00603A76" w:rsidRPr="002E1A27">
          <w:rPr>
            <w:rStyle w:val="Hyperlink"/>
            <w:noProof/>
          </w:rPr>
          <w:t>14.</w:t>
        </w:r>
        <w:r w:rsidR="00603A76">
          <w:rPr>
            <w:rFonts w:asciiTheme="minorHAnsi" w:eastAsiaTheme="minorEastAsia" w:hAnsiTheme="minorHAnsi" w:cstheme="minorBidi"/>
            <w:b w:val="0"/>
            <w:noProof/>
            <w:color w:val="auto"/>
            <w:sz w:val="22"/>
            <w:szCs w:val="22"/>
          </w:rPr>
          <w:tab/>
        </w:r>
        <w:r w:rsidR="00603A76" w:rsidRPr="002E1A27">
          <w:rPr>
            <w:rStyle w:val="Hyperlink"/>
            <w:noProof/>
          </w:rPr>
          <w:t>OAP Signatures</w:t>
        </w:r>
        <w:r w:rsidR="00603A76">
          <w:rPr>
            <w:noProof/>
            <w:webHidden/>
          </w:rPr>
          <w:tab/>
        </w:r>
        <w:r w:rsidR="00603A76">
          <w:rPr>
            <w:noProof/>
            <w:webHidden/>
          </w:rPr>
          <w:fldChar w:fldCharType="begin"/>
        </w:r>
        <w:r w:rsidR="00603A76">
          <w:rPr>
            <w:noProof/>
            <w:webHidden/>
          </w:rPr>
          <w:instrText xml:space="preserve"> PAGEREF _Toc485322804 \h </w:instrText>
        </w:r>
        <w:r w:rsidR="00603A76">
          <w:rPr>
            <w:noProof/>
            <w:webHidden/>
          </w:rPr>
        </w:r>
        <w:r w:rsidR="00603A76">
          <w:rPr>
            <w:noProof/>
            <w:webHidden/>
          </w:rPr>
          <w:fldChar w:fldCharType="separate"/>
        </w:r>
        <w:r w:rsidR="00603A76">
          <w:rPr>
            <w:noProof/>
            <w:webHidden/>
          </w:rPr>
          <w:t>17</w:t>
        </w:r>
        <w:r w:rsidR="00603A76">
          <w:rPr>
            <w:noProof/>
            <w:webHidden/>
          </w:rPr>
          <w:fldChar w:fldCharType="end"/>
        </w:r>
      </w:hyperlink>
    </w:p>
    <w:p w:rsidR="00603A76" w:rsidRDefault="00C525C3">
      <w:pPr>
        <w:pStyle w:val="TOC1"/>
        <w:rPr>
          <w:rFonts w:asciiTheme="minorHAnsi" w:eastAsiaTheme="minorEastAsia" w:hAnsiTheme="minorHAnsi" w:cstheme="minorBidi"/>
          <w:b w:val="0"/>
          <w:noProof/>
          <w:color w:val="auto"/>
          <w:sz w:val="22"/>
          <w:szCs w:val="22"/>
        </w:rPr>
      </w:pPr>
      <w:hyperlink w:anchor="_Toc485322805" w:history="1">
        <w:r w:rsidR="00603A76" w:rsidRPr="002E1A27">
          <w:rPr>
            <w:rStyle w:val="Hyperlink"/>
            <w:noProof/>
          </w:rPr>
          <w:t>A.</w:t>
        </w:r>
        <w:r w:rsidR="00603A76">
          <w:rPr>
            <w:rFonts w:asciiTheme="minorHAnsi" w:eastAsiaTheme="minorEastAsia" w:hAnsiTheme="minorHAnsi" w:cstheme="minorBidi"/>
            <w:b w:val="0"/>
            <w:noProof/>
            <w:color w:val="auto"/>
            <w:sz w:val="22"/>
            <w:szCs w:val="22"/>
          </w:rPr>
          <w:tab/>
        </w:r>
        <w:r w:rsidR="00603A76" w:rsidRPr="002E1A27">
          <w:rPr>
            <w:rStyle w:val="Hyperlink"/>
            <w:noProof/>
          </w:rPr>
          <w:t>Appendix A – Responsibilities of the Programmatic System Owner</w:t>
        </w:r>
        <w:r w:rsidR="00603A76">
          <w:rPr>
            <w:noProof/>
            <w:webHidden/>
          </w:rPr>
          <w:tab/>
        </w:r>
        <w:r w:rsidR="00603A76">
          <w:rPr>
            <w:noProof/>
            <w:webHidden/>
          </w:rPr>
          <w:fldChar w:fldCharType="begin"/>
        </w:r>
        <w:r w:rsidR="00603A76">
          <w:rPr>
            <w:noProof/>
            <w:webHidden/>
          </w:rPr>
          <w:instrText xml:space="preserve"> PAGEREF _Toc485322805 \h </w:instrText>
        </w:r>
        <w:r w:rsidR="00603A76">
          <w:rPr>
            <w:noProof/>
            <w:webHidden/>
          </w:rPr>
        </w:r>
        <w:r w:rsidR="00603A76">
          <w:rPr>
            <w:noProof/>
            <w:webHidden/>
          </w:rPr>
          <w:fldChar w:fldCharType="separate"/>
        </w:r>
        <w:r w:rsidR="00603A76">
          <w:rPr>
            <w:noProof/>
            <w:webHidden/>
          </w:rPr>
          <w:t>19</w:t>
        </w:r>
        <w:r w:rsidR="00603A76">
          <w:rPr>
            <w:noProof/>
            <w:webHidden/>
          </w:rPr>
          <w:fldChar w:fldCharType="end"/>
        </w:r>
      </w:hyperlink>
    </w:p>
    <w:p w:rsidR="004F3A80" w:rsidRDefault="005A6D5B" w:rsidP="00F866E3">
      <w:pPr>
        <w:pStyle w:val="TOC1"/>
        <w:sectPr w:rsidR="004F3A80" w:rsidSect="00E0789A">
          <w:footerReference w:type="default" r:id="rId16"/>
          <w:pgSz w:w="12240" w:h="15840" w:code="1"/>
          <w:pgMar w:top="1440" w:right="1440" w:bottom="1440" w:left="1440" w:header="720" w:footer="720" w:gutter="0"/>
          <w:cols w:space="720"/>
          <w:docGrid w:linePitch="360"/>
        </w:sectPr>
      </w:pPr>
      <w:r>
        <w:fldChar w:fldCharType="end"/>
      </w:r>
    </w:p>
    <w:p w:rsidR="00F41862" w:rsidRDefault="00D61E13" w:rsidP="00D61E13">
      <w:pPr>
        <w:pStyle w:val="Heading1"/>
      </w:pPr>
      <w:bookmarkStart w:id="2" w:name="_Toc485322791"/>
      <w:bookmarkEnd w:id="0"/>
      <w:r w:rsidRPr="00D61E13">
        <w:lastRenderedPageBreak/>
        <w:t>Product / Project Description</w:t>
      </w:r>
      <w:bookmarkEnd w:id="2"/>
    </w:p>
    <w:p w:rsidR="004E62E3" w:rsidRPr="004E62E3" w:rsidRDefault="004E62E3" w:rsidP="004E62E3">
      <w:pPr>
        <w:pStyle w:val="InstructionalText1"/>
        <w:numPr>
          <w:ilvl w:val="0"/>
          <w:numId w:val="29"/>
        </w:numPr>
        <w:rPr>
          <w:i w:val="0"/>
          <w:color w:val="auto"/>
        </w:rPr>
      </w:pPr>
      <w:r w:rsidRPr="004E62E3">
        <w:rPr>
          <w:i w:val="0"/>
          <w:color w:val="auto"/>
        </w:rPr>
        <w:t>EPS Number: 01-02-03-08-05-011</w:t>
      </w:r>
    </w:p>
    <w:p w:rsidR="004E62E3" w:rsidRPr="004E62E3" w:rsidRDefault="004E62E3" w:rsidP="004E62E3">
      <w:pPr>
        <w:pStyle w:val="InstructionalText1"/>
        <w:numPr>
          <w:ilvl w:val="0"/>
          <w:numId w:val="29"/>
        </w:numPr>
        <w:rPr>
          <w:i w:val="0"/>
          <w:color w:val="auto"/>
        </w:rPr>
      </w:pPr>
      <w:r w:rsidRPr="004E62E3">
        <w:rPr>
          <w:i w:val="0"/>
          <w:color w:val="auto"/>
        </w:rPr>
        <w:t>Current PMAS state: Active</w:t>
      </w:r>
    </w:p>
    <w:p w:rsidR="004E62E3" w:rsidRPr="004E62E3" w:rsidRDefault="004E62E3" w:rsidP="004E62E3">
      <w:pPr>
        <w:pStyle w:val="InstructionalText1"/>
        <w:numPr>
          <w:ilvl w:val="0"/>
          <w:numId w:val="29"/>
        </w:numPr>
        <w:rPr>
          <w:i w:val="0"/>
          <w:color w:val="auto"/>
        </w:rPr>
      </w:pPr>
      <w:r w:rsidRPr="004E62E3">
        <w:rPr>
          <w:i w:val="0"/>
          <w:color w:val="auto"/>
        </w:rPr>
        <w:t xml:space="preserve">Planned Completion Date: </w:t>
      </w:r>
      <w:r w:rsidR="00345883">
        <w:rPr>
          <w:i w:val="0"/>
          <w:color w:val="auto"/>
        </w:rPr>
        <w:t>7</w:t>
      </w:r>
      <w:r w:rsidRPr="004E62E3">
        <w:rPr>
          <w:i w:val="0"/>
          <w:color w:val="auto"/>
        </w:rPr>
        <w:t xml:space="preserve"> </w:t>
      </w:r>
      <w:r w:rsidR="000119D4">
        <w:rPr>
          <w:i w:val="0"/>
          <w:color w:val="auto"/>
        </w:rPr>
        <w:t>June</w:t>
      </w:r>
      <w:r w:rsidRPr="004E62E3">
        <w:rPr>
          <w:i w:val="0"/>
          <w:color w:val="auto"/>
        </w:rPr>
        <w:t xml:space="preserve"> 2018 </w:t>
      </w:r>
    </w:p>
    <w:p w:rsidR="004E62E3" w:rsidRPr="004E62E3" w:rsidRDefault="004E62E3" w:rsidP="004E62E3">
      <w:pPr>
        <w:pStyle w:val="InstructionalText1"/>
        <w:numPr>
          <w:ilvl w:val="0"/>
          <w:numId w:val="29"/>
        </w:numPr>
        <w:rPr>
          <w:i w:val="0"/>
          <w:color w:val="auto"/>
        </w:rPr>
      </w:pPr>
      <w:r w:rsidRPr="004E62E3">
        <w:rPr>
          <w:i w:val="0"/>
          <w:color w:val="auto"/>
        </w:rPr>
        <w:t xml:space="preserve">Business Owner: James </w:t>
      </w:r>
      <w:proofErr w:type="spellStart"/>
      <w:r w:rsidRPr="004E62E3">
        <w:rPr>
          <w:i w:val="0"/>
          <w:color w:val="auto"/>
        </w:rPr>
        <w:t>Breeling</w:t>
      </w:r>
      <w:proofErr w:type="spellEnd"/>
      <w:r w:rsidRPr="004E62E3">
        <w:rPr>
          <w:i w:val="0"/>
          <w:color w:val="auto"/>
        </w:rPr>
        <w:t>, MD, Director of Bioinformatics</w:t>
      </w:r>
    </w:p>
    <w:p w:rsidR="004E62E3" w:rsidRPr="004E62E3" w:rsidRDefault="004E62E3" w:rsidP="004E62E3">
      <w:pPr>
        <w:pStyle w:val="InstructionalText1"/>
        <w:numPr>
          <w:ilvl w:val="0"/>
          <w:numId w:val="29"/>
        </w:numPr>
        <w:rPr>
          <w:i w:val="0"/>
          <w:color w:val="auto"/>
        </w:rPr>
      </w:pPr>
      <w:r w:rsidRPr="004E62E3">
        <w:rPr>
          <w:i w:val="0"/>
          <w:color w:val="auto"/>
        </w:rPr>
        <w:t>Federal Information Security Management Act (FISMA) System Owner: Gary Stevens, Director, Office of Cyber Security</w:t>
      </w:r>
    </w:p>
    <w:p w:rsidR="004E62E3" w:rsidRPr="004E62E3" w:rsidRDefault="004E62E3" w:rsidP="004E62E3">
      <w:pPr>
        <w:pStyle w:val="InstructionalText1"/>
        <w:numPr>
          <w:ilvl w:val="0"/>
          <w:numId w:val="29"/>
        </w:numPr>
        <w:rPr>
          <w:i w:val="0"/>
          <w:color w:val="auto"/>
        </w:rPr>
      </w:pPr>
      <w:r w:rsidRPr="004E62E3">
        <w:rPr>
          <w:i w:val="0"/>
          <w:color w:val="auto"/>
        </w:rPr>
        <w:t>Programmatic System Owner (PSO): Kimberly Nix, Office of Information and Technology  (OI&amp;T) Program Manager; Katie Thomas, OI&amp;T Project Manager</w:t>
      </w:r>
    </w:p>
    <w:p w:rsidR="004E62E3" w:rsidRDefault="004E62E3" w:rsidP="004E62E3">
      <w:pPr>
        <w:pStyle w:val="InstructionalText1"/>
        <w:numPr>
          <w:ilvl w:val="0"/>
          <w:numId w:val="29"/>
        </w:numPr>
        <w:rPr>
          <w:i w:val="0"/>
          <w:color w:val="auto"/>
        </w:rPr>
      </w:pPr>
      <w:r w:rsidRPr="004E62E3">
        <w:rPr>
          <w:i w:val="0"/>
          <w:color w:val="auto"/>
        </w:rPr>
        <w:t>(Responsibilities of the PSO are detailed in Appendix A)</w:t>
      </w:r>
    </w:p>
    <w:p w:rsidR="004E62E3" w:rsidRPr="004E62E3" w:rsidRDefault="004E62E3" w:rsidP="004E62E3">
      <w:pPr>
        <w:pStyle w:val="BodyText"/>
      </w:pPr>
    </w:p>
    <w:p w:rsidR="004E62E3" w:rsidRPr="00CD40E2" w:rsidRDefault="004E62E3" w:rsidP="004E62E3">
      <w:pPr>
        <w:pStyle w:val="BodyText"/>
        <w:rPr>
          <w:b/>
          <w:sz w:val="32"/>
          <w:szCs w:val="32"/>
        </w:rPr>
      </w:pPr>
      <w:r w:rsidRPr="00CD40E2">
        <w:rPr>
          <w:b/>
          <w:sz w:val="32"/>
          <w:szCs w:val="32"/>
        </w:rPr>
        <w:t>Related Efforts</w:t>
      </w:r>
    </w:p>
    <w:p w:rsidR="004E62E3" w:rsidRPr="00E12494" w:rsidRDefault="00C525C3" w:rsidP="004E62E3">
      <w:pPr>
        <w:pStyle w:val="ListParagraph"/>
        <w:autoSpaceDE w:val="0"/>
        <w:autoSpaceDN w:val="0"/>
        <w:adjustRightInd w:val="0"/>
        <w:ind w:left="0"/>
        <w:rPr>
          <w:rStyle w:val="Hyperlink"/>
        </w:rPr>
      </w:pPr>
      <w:hyperlink r:id="rId17" w:history="1">
        <w:r w:rsidR="004E62E3" w:rsidRPr="00A01811">
          <w:rPr>
            <w:rStyle w:val="Hyperlink"/>
            <w:b/>
            <w:bCs/>
          </w:rPr>
          <w:t xml:space="preserve">New Service Request (NSR) 20130905 </w:t>
        </w:r>
        <w:proofErr w:type="spellStart"/>
        <w:r w:rsidR="004E62E3" w:rsidRPr="00A01811">
          <w:rPr>
            <w:rStyle w:val="Hyperlink"/>
            <w:b/>
            <w:bCs/>
          </w:rPr>
          <w:t>VistA</w:t>
        </w:r>
        <w:proofErr w:type="spellEnd"/>
        <w:r w:rsidR="004E62E3" w:rsidRPr="00A01811">
          <w:rPr>
            <w:rStyle w:val="Hyperlink"/>
            <w:b/>
            <w:bCs/>
          </w:rPr>
          <w:t xml:space="preserve"> Evolution</w:t>
        </w:r>
      </w:hyperlink>
    </w:p>
    <w:p w:rsidR="004E62E3" w:rsidRPr="000B0DED" w:rsidRDefault="004E62E3" w:rsidP="004E62E3">
      <w:pPr>
        <w:autoSpaceDE w:val="0"/>
        <w:autoSpaceDN w:val="0"/>
        <w:adjustRightInd w:val="0"/>
        <w:spacing w:before="120" w:after="120"/>
        <w:contextualSpacing/>
        <w:rPr>
          <w:b/>
          <w:bCs/>
          <w:sz w:val="24"/>
        </w:rPr>
      </w:pPr>
      <w:r>
        <w:rPr>
          <w:bCs/>
          <w:sz w:val="24"/>
        </w:rPr>
        <w:t>The Department of Veterans Affairs (</w:t>
      </w:r>
      <w:r w:rsidRPr="00AF54D0">
        <w:rPr>
          <w:bCs/>
          <w:sz w:val="24"/>
        </w:rPr>
        <w:t>V</w:t>
      </w:r>
      <w:r>
        <w:rPr>
          <w:bCs/>
          <w:sz w:val="24"/>
        </w:rPr>
        <w:t>A)</w:t>
      </w:r>
      <w:r w:rsidRPr="00AF54D0">
        <w:rPr>
          <w:bCs/>
          <w:sz w:val="24"/>
        </w:rPr>
        <w:t xml:space="preserve"> is planning to build clinical decision support modules using precision medicine data to guide points of care. </w:t>
      </w:r>
      <w:r w:rsidRPr="000B0DED">
        <w:rPr>
          <w:bCs/>
          <w:sz w:val="24"/>
        </w:rPr>
        <w:t xml:space="preserve">The VistA-4 </w:t>
      </w:r>
      <w:r>
        <w:rPr>
          <w:bCs/>
          <w:sz w:val="24"/>
        </w:rPr>
        <w:t>p</w:t>
      </w:r>
      <w:r w:rsidRPr="000B0DED">
        <w:rPr>
          <w:bCs/>
          <w:sz w:val="24"/>
        </w:rPr>
        <w:t xml:space="preserve">roject will be the first project in the </w:t>
      </w:r>
      <w:proofErr w:type="spellStart"/>
      <w:r w:rsidRPr="000B0DED">
        <w:rPr>
          <w:bCs/>
          <w:sz w:val="24"/>
        </w:rPr>
        <w:t>VistA</w:t>
      </w:r>
      <w:proofErr w:type="spellEnd"/>
      <w:r w:rsidRPr="000B0DED">
        <w:rPr>
          <w:bCs/>
          <w:sz w:val="24"/>
        </w:rPr>
        <w:t xml:space="preserve"> Evolution Program. VistA-4 will focus on syntactic, semantic, and process interoperability</w:t>
      </w:r>
      <w:r>
        <w:rPr>
          <w:bCs/>
          <w:sz w:val="24"/>
        </w:rPr>
        <w:t>,</w:t>
      </w:r>
      <w:r w:rsidRPr="000B0DED">
        <w:rPr>
          <w:bCs/>
          <w:sz w:val="24"/>
        </w:rPr>
        <w:t xml:space="preserve"> care coordination, the integration of ancillary services, and meaningful use. VistA-4 will rely upon infrastructure components, data models, and services that support an open, modular, extensible </w:t>
      </w:r>
      <w:r w:rsidR="00147823">
        <w:rPr>
          <w:bCs/>
          <w:sz w:val="24"/>
        </w:rPr>
        <w:t>Electronic Health Record (</w:t>
      </w:r>
      <w:r w:rsidRPr="000B0DED">
        <w:rPr>
          <w:bCs/>
          <w:sz w:val="24"/>
        </w:rPr>
        <w:t>EHR</w:t>
      </w:r>
      <w:r w:rsidR="00147823">
        <w:rPr>
          <w:bCs/>
          <w:sz w:val="24"/>
        </w:rPr>
        <w:t>)</w:t>
      </w:r>
      <w:r w:rsidRPr="000B0DED">
        <w:rPr>
          <w:bCs/>
          <w:sz w:val="24"/>
        </w:rPr>
        <w:t xml:space="preserve"> platform allowing </w:t>
      </w:r>
      <w:r>
        <w:rPr>
          <w:bCs/>
          <w:sz w:val="24"/>
        </w:rPr>
        <w:t xml:space="preserve">the </w:t>
      </w:r>
      <w:r w:rsidRPr="000B0DED">
        <w:rPr>
          <w:bCs/>
          <w:sz w:val="24"/>
        </w:rPr>
        <w:t>VA to provide high</w:t>
      </w:r>
      <w:r w:rsidR="00147823">
        <w:rPr>
          <w:bCs/>
          <w:sz w:val="24"/>
        </w:rPr>
        <w:t xml:space="preserve"> </w:t>
      </w:r>
      <w:r w:rsidRPr="000B0DED">
        <w:rPr>
          <w:bCs/>
          <w:sz w:val="24"/>
        </w:rPr>
        <w:t>quality solutions at increased speed and decreased cost. The resulting system will be flexible and agile, accommodating new technology advances and achieving optimal results more efficiently.</w:t>
      </w:r>
    </w:p>
    <w:p w:rsidR="004E62E3" w:rsidRDefault="00C525C3" w:rsidP="004E62E3">
      <w:pPr>
        <w:pStyle w:val="ListParagraph"/>
        <w:autoSpaceDE w:val="0"/>
        <w:autoSpaceDN w:val="0"/>
        <w:adjustRightInd w:val="0"/>
        <w:ind w:left="0"/>
        <w:rPr>
          <w:b/>
          <w:bCs/>
        </w:rPr>
      </w:pPr>
      <w:hyperlink r:id="rId18" w:history="1">
        <w:r w:rsidR="004E62E3" w:rsidRPr="00157981">
          <w:rPr>
            <w:rStyle w:val="Hyperlink"/>
            <w:b/>
            <w:bCs/>
          </w:rPr>
          <w:t>NSR 20110707 Genomic Information System for Integrated Science (</w:t>
        </w:r>
        <w:r w:rsidR="00EE1BC0">
          <w:rPr>
            <w:rStyle w:val="Hyperlink"/>
            <w:b/>
            <w:bCs/>
          </w:rPr>
          <w:t>Genisis</w:t>
        </w:r>
        <w:r w:rsidR="00F45A2E">
          <w:rPr>
            <w:rStyle w:val="Hyperlink"/>
            <w:b/>
            <w:bCs/>
          </w:rPr>
          <w:t>2</w:t>
        </w:r>
        <w:r w:rsidR="004E62E3" w:rsidRPr="00157981">
          <w:rPr>
            <w:rStyle w:val="Hyperlink"/>
            <w:b/>
            <w:bCs/>
          </w:rPr>
          <w:t>)</w:t>
        </w:r>
      </w:hyperlink>
    </w:p>
    <w:p w:rsidR="004E62E3" w:rsidRDefault="004E62E3" w:rsidP="004E62E3">
      <w:pPr>
        <w:autoSpaceDE w:val="0"/>
        <w:autoSpaceDN w:val="0"/>
        <w:adjustRightInd w:val="0"/>
        <w:spacing w:before="120" w:after="120"/>
        <w:contextualSpacing/>
        <w:rPr>
          <w:bCs/>
          <w:sz w:val="24"/>
        </w:rPr>
      </w:pPr>
      <w:r>
        <w:rPr>
          <w:bCs/>
          <w:sz w:val="24"/>
        </w:rPr>
        <w:t xml:space="preserve">The </w:t>
      </w:r>
      <w:r w:rsidRPr="000B0DED">
        <w:rPr>
          <w:bCs/>
          <w:sz w:val="24"/>
        </w:rPr>
        <w:t>VA is establishing its leadership in genomic medicine by undertaking a ground-breaking genomic medicine program</w:t>
      </w:r>
      <w:r>
        <w:rPr>
          <w:bCs/>
          <w:sz w:val="24"/>
        </w:rPr>
        <w:t>,</w:t>
      </w:r>
      <w:r w:rsidRPr="000B0DED">
        <w:rPr>
          <w:bCs/>
          <w:sz w:val="24"/>
        </w:rPr>
        <w:t xml:space="preserve"> called the Million Veteran Pro</w:t>
      </w:r>
      <w:r>
        <w:rPr>
          <w:bCs/>
          <w:sz w:val="24"/>
        </w:rPr>
        <w:t xml:space="preserve">gram (MVP).  </w:t>
      </w:r>
      <w:r w:rsidRPr="000B0DED">
        <w:rPr>
          <w:bCs/>
          <w:sz w:val="24"/>
        </w:rPr>
        <w:t xml:space="preserve">MVP was launched at the VA Boston Healthcare System on January 5, 2011, followed by eight other Vanguard sites </w:t>
      </w:r>
      <w:r>
        <w:rPr>
          <w:bCs/>
          <w:sz w:val="24"/>
        </w:rPr>
        <w:t xml:space="preserve">at </w:t>
      </w:r>
      <w:r w:rsidRPr="000B0DED">
        <w:rPr>
          <w:bCs/>
          <w:sz w:val="24"/>
        </w:rPr>
        <w:t>the end of February</w:t>
      </w:r>
      <w:r>
        <w:rPr>
          <w:bCs/>
          <w:sz w:val="24"/>
        </w:rPr>
        <w:t xml:space="preserve"> 2011. </w:t>
      </w:r>
      <w:r w:rsidRPr="000B0DED">
        <w:rPr>
          <w:bCs/>
          <w:sz w:val="24"/>
        </w:rPr>
        <w:t>The logistics of enrollment, data collection</w:t>
      </w:r>
      <w:r>
        <w:rPr>
          <w:bCs/>
          <w:sz w:val="24"/>
        </w:rPr>
        <w:t>,</w:t>
      </w:r>
      <w:r w:rsidRPr="000B0DED">
        <w:rPr>
          <w:bCs/>
          <w:sz w:val="24"/>
        </w:rPr>
        <w:t xml:space="preserve"> and transfer were optimized at these sites. National roll</w:t>
      </w:r>
      <w:r>
        <w:rPr>
          <w:bCs/>
          <w:sz w:val="24"/>
        </w:rPr>
        <w:t>out of MVP was announced in May 2011</w:t>
      </w:r>
      <w:r w:rsidRPr="000B0DED">
        <w:rPr>
          <w:bCs/>
          <w:sz w:val="24"/>
        </w:rPr>
        <w:t xml:space="preserve"> with eighteen additional sites. The sites received training in April </w:t>
      </w:r>
      <w:r>
        <w:rPr>
          <w:bCs/>
          <w:sz w:val="24"/>
        </w:rPr>
        <w:t>2011, and the system was</w:t>
      </w:r>
      <w:r w:rsidRPr="000B0DED">
        <w:rPr>
          <w:bCs/>
          <w:sz w:val="24"/>
        </w:rPr>
        <w:t xml:space="preserve"> launched du</w:t>
      </w:r>
      <w:r>
        <w:rPr>
          <w:bCs/>
          <w:sz w:val="24"/>
        </w:rPr>
        <w:t>ring June and July 2011.</w:t>
      </w:r>
    </w:p>
    <w:p w:rsidR="004E62E3" w:rsidRPr="00E12494" w:rsidRDefault="00C525C3" w:rsidP="004E62E3">
      <w:pPr>
        <w:pStyle w:val="ListParagraph"/>
        <w:autoSpaceDE w:val="0"/>
        <w:autoSpaceDN w:val="0"/>
        <w:adjustRightInd w:val="0"/>
        <w:ind w:left="0"/>
        <w:rPr>
          <w:rStyle w:val="Hyperlink"/>
        </w:rPr>
      </w:pPr>
      <w:hyperlink r:id="rId19" w:history="1">
        <w:r w:rsidR="004E62E3" w:rsidRPr="00A01811">
          <w:rPr>
            <w:rStyle w:val="Hyperlink"/>
            <w:b/>
            <w:bCs/>
          </w:rPr>
          <w:t xml:space="preserve">NSR </w:t>
        </w:r>
        <w:proofErr w:type="gramStart"/>
        <w:r w:rsidR="004E62E3" w:rsidRPr="00A01811">
          <w:rPr>
            <w:rStyle w:val="Hyperlink"/>
            <w:b/>
            <w:bCs/>
          </w:rPr>
          <w:t>20110706 VA Informatics</w:t>
        </w:r>
        <w:proofErr w:type="gramEnd"/>
        <w:r w:rsidR="004E62E3" w:rsidRPr="00A01811">
          <w:rPr>
            <w:rStyle w:val="Hyperlink"/>
            <w:b/>
            <w:bCs/>
          </w:rPr>
          <w:t xml:space="preserve"> and Computing Infrastructure (VINCI)</w:t>
        </w:r>
      </w:hyperlink>
    </w:p>
    <w:p w:rsidR="004E62E3" w:rsidRDefault="004E62E3" w:rsidP="004E62E3">
      <w:pPr>
        <w:autoSpaceDE w:val="0"/>
        <w:autoSpaceDN w:val="0"/>
        <w:adjustRightInd w:val="0"/>
        <w:spacing w:before="120" w:after="120"/>
        <w:contextualSpacing/>
        <w:rPr>
          <w:bCs/>
          <w:sz w:val="24"/>
        </w:rPr>
      </w:pPr>
      <w:r w:rsidRPr="000B0DED">
        <w:rPr>
          <w:bCs/>
          <w:sz w:val="24"/>
        </w:rPr>
        <w:t>The VA Informatics and C</w:t>
      </w:r>
      <w:r>
        <w:rPr>
          <w:bCs/>
          <w:sz w:val="24"/>
        </w:rPr>
        <w:t>omputing Infrastructure (VINCI)</w:t>
      </w:r>
      <w:r w:rsidRPr="000B0DED">
        <w:rPr>
          <w:bCs/>
          <w:sz w:val="24"/>
        </w:rPr>
        <w:t xml:space="preserve"> </w:t>
      </w:r>
      <w:r>
        <w:rPr>
          <w:bCs/>
          <w:sz w:val="24"/>
        </w:rPr>
        <w:t>p</w:t>
      </w:r>
      <w:r w:rsidRPr="000B0DED">
        <w:rPr>
          <w:bCs/>
          <w:sz w:val="24"/>
        </w:rPr>
        <w:t xml:space="preserve">rogram is intended to fulfill the need of the VA </w:t>
      </w:r>
      <w:r>
        <w:rPr>
          <w:bCs/>
          <w:sz w:val="24"/>
        </w:rPr>
        <w:t>r</w:t>
      </w:r>
      <w:r w:rsidRPr="000B0DED">
        <w:rPr>
          <w:bCs/>
          <w:sz w:val="24"/>
        </w:rPr>
        <w:t xml:space="preserve">esearch community for a secure and powerful analytical environment that provides access to appropriate data. The VINCI </w:t>
      </w:r>
      <w:r>
        <w:rPr>
          <w:bCs/>
          <w:sz w:val="24"/>
        </w:rPr>
        <w:t>p</w:t>
      </w:r>
      <w:r w:rsidRPr="000B0DED">
        <w:rPr>
          <w:bCs/>
          <w:sz w:val="24"/>
        </w:rPr>
        <w:t>rogram will provide data, data analysis tools, software, software development tools</w:t>
      </w:r>
      <w:r>
        <w:rPr>
          <w:bCs/>
          <w:sz w:val="24"/>
        </w:rPr>
        <w:t>,</w:t>
      </w:r>
      <w:r w:rsidRPr="000B0DED">
        <w:rPr>
          <w:bCs/>
          <w:sz w:val="24"/>
        </w:rPr>
        <w:t xml:space="preserve"> and support for VA </w:t>
      </w:r>
      <w:r>
        <w:rPr>
          <w:bCs/>
          <w:sz w:val="24"/>
        </w:rPr>
        <w:t>r</w:t>
      </w:r>
      <w:r w:rsidRPr="000B0DED">
        <w:rPr>
          <w:bCs/>
          <w:sz w:val="24"/>
        </w:rPr>
        <w:t>esearchers and will specifically expand the VA capability for informatics research.</w:t>
      </w:r>
    </w:p>
    <w:p w:rsidR="004E62E3" w:rsidRDefault="004E62E3" w:rsidP="004E62E3">
      <w:pPr>
        <w:rPr>
          <w:bCs/>
          <w:sz w:val="24"/>
        </w:rPr>
      </w:pPr>
    </w:p>
    <w:p w:rsidR="004E62E3" w:rsidRPr="00E12494" w:rsidRDefault="00C525C3" w:rsidP="004E62E3">
      <w:pPr>
        <w:pStyle w:val="ListParagraph"/>
        <w:autoSpaceDE w:val="0"/>
        <w:autoSpaceDN w:val="0"/>
        <w:adjustRightInd w:val="0"/>
        <w:ind w:left="0"/>
        <w:rPr>
          <w:rStyle w:val="Hyperlink"/>
        </w:rPr>
      </w:pPr>
      <w:hyperlink r:id="rId20" w:history="1">
        <w:r w:rsidR="004E62E3" w:rsidRPr="00E12494">
          <w:rPr>
            <w:rStyle w:val="Hyperlink"/>
            <w:b/>
            <w:bCs/>
          </w:rPr>
          <w:t>NSR 20141102 VINCI Enhancements</w:t>
        </w:r>
      </w:hyperlink>
    </w:p>
    <w:p w:rsidR="004E62E3" w:rsidRPr="000B0DED" w:rsidRDefault="004E62E3" w:rsidP="004E62E3">
      <w:pPr>
        <w:autoSpaceDE w:val="0"/>
        <w:autoSpaceDN w:val="0"/>
        <w:adjustRightInd w:val="0"/>
        <w:spacing w:before="120" w:after="120"/>
        <w:contextualSpacing/>
        <w:rPr>
          <w:bCs/>
          <w:sz w:val="24"/>
        </w:rPr>
      </w:pPr>
      <w:r w:rsidRPr="000B0DED">
        <w:rPr>
          <w:bCs/>
          <w:sz w:val="24"/>
        </w:rPr>
        <w:lastRenderedPageBreak/>
        <w:t xml:space="preserve">The VA VINCI </w:t>
      </w:r>
      <w:r>
        <w:rPr>
          <w:bCs/>
          <w:sz w:val="24"/>
        </w:rPr>
        <w:t>p</w:t>
      </w:r>
      <w:r w:rsidRPr="000B0DED">
        <w:rPr>
          <w:bCs/>
          <w:sz w:val="24"/>
        </w:rPr>
        <w:t xml:space="preserve">rogram fulfills the need of the VA </w:t>
      </w:r>
      <w:r>
        <w:rPr>
          <w:bCs/>
          <w:sz w:val="24"/>
        </w:rPr>
        <w:t>r</w:t>
      </w:r>
      <w:r w:rsidRPr="000B0DED">
        <w:rPr>
          <w:bCs/>
          <w:sz w:val="24"/>
        </w:rPr>
        <w:t xml:space="preserve">esearch community and business intelligence for a secure and powerful analytical environment that provides access to appropriate data. The VINCI </w:t>
      </w:r>
      <w:r>
        <w:rPr>
          <w:bCs/>
          <w:sz w:val="24"/>
        </w:rPr>
        <w:t>p</w:t>
      </w:r>
      <w:r w:rsidRPr="000B0DED">
        <w:rPr>
          <w:bCs/>
          <w:sz w:val="24"/>
        </w:rPr>
        <w:t>rogram will provide data, data analysis tools, software, software development tools</w:t>
      </w:r>
      <w:r>
        <w:rPr>
          <w:bCs/>
          <w:sz w:val="24"/>
        </w:rPr>
        <w:t>,</w:t>
      </w:r>
      <w:r w:rsidRPr="000B0DED">
        <w:rPr>
          <w:bCs/>
          <w:sz w:val="24"/>
        </w:rPr>
        <w:t xml:space="preserve"> and support for VA </w:t>
      </w:r>
      <w:r>
        <w:rPr>
          <w:bCs/>
          <w:sz w:val="24"/>
        </w:rPr>
        <w:t>r</w:t>
      </w:r>
      <w:r w:rsidRPr="000B0DED">
        <w:rPr>
          <w:bCs/>
          <w:sz w:val="24"/>
        </w:rPr>
        <w:t>esearchers</w:t>
      </w:r>
      <w:r>
        <w:rPr>
          <w:bCs/>
          <w:sz w:val="24"/>
        </w:rPr>
        <w:t>,</w:t>
      </w:r>
      <w:r w:rsidRPr="000B0DED">
        <w:rPr>
          <w:bCs/>
          <w:sz w:val="24"/>
        </w:rPr>
        <w:t xml:space="preserve"> and is expanding </w:t>
      </w:r>
      <w:r>
        <w:rPr>
          <w:bCs/>
          <w:sz w:val="24"/>
        </w:rPr>
        <w:t xml:space="preserve">the </w:t>
      </w:r>
      <w:r w:rsidRPr="000B0DED">
        <w:rPr>
          <w:bCs/>
          <w:sz w:val="24"/>
        </w:rPr>
        <w:t xml:space="preserve">capability </w:t>
      </w:r>
      <w:r>
        <w:rPr>
          <w:bCs/>
          <w:sz w:val="24"/>
        </w:rPr>
        <w:t xml:space="preserve">of the </w:t>
      </w:r>
      <w:r w:rsidRPr="000B0DED">
        <w:rPr>
          <w:bCs/>
          <w:sz w:val="24"/>
        </w:rPr>
        <w:t>VA for informatics research and business intelligence.</w:t>
      </w:r>
    </w:p>
    <w:p w:rsidR="004E62E3" w:rsidRPr="00E12494" w:rsidRDefault="00C525C3" w:rsidP="004E62E3">
      <w:pPr>
        <w:pStyle w:val="ListParagraph"/>
        <w:autoSpaceDE w:val="0"/>
        <w:autoSpaceDN w:val="0"/>
        <w:adjustRightInd w:val="0"/>
        <w:ind w:left="0"/>
        <w:rPr>
          <w:rStyle w:val="Hyperlink"/>
          <w:b/>
          <w:bCs/>
        </w:rPr>
      </w:pPr>
      <w:hyperlink r:id="rId21" w:history="1">
        <w:proofErr w:type="spellStart"/>
        <w:r w:rsidR="004E62E3" w:rsidRPr="00A444E7">
          <w:rPr>
            <w:rStyle w:val="Hyperlink"/>
            <w:b/>
            <w:bCs/>
          </w:rPr>
          <w:t>MyHealtheVet</w:t>
        </w:r>
        <w:proofErr w:type="spellEnd"/>
      </w:hyperlink>
    </w:p>
    <w:p w:rsidR="004E62E3" w:rsidRDefault="004E62E3" w:rsidP="004E62E3">
      <w:pPr>
        <w:autoSpaceDE w:val="0"/>
        <w:autoSpaceDN w:val="0"/>
        <w:adjustRightInd w:val="0"/>
        <w:spacing w:before="120" w:after="120"/>
        <w:rPr>
          <w:bCs/>
          <w:sz w:val="24"/>
        </w:rPr>
      </w:pPr>
      <w:r w:rsidRPr="00E12494">
        <w:rPr>
          <w:bCs/>
          <w:sz w:val="24"/>
        </w:rPr>
        <w:t xml:space="preserve">Currently, </w:t>
      </w:r>
      <w:proofErr w:type="spellStart"/>
      <w:r w:rsidRPr="00E12494">
        <w:rPr>
          <w:bCs/>
          <w:sz w:val="24"/>
        </w:rPr>
        <w:t>MyHealtheVet</w:t>
      </w:r>
      <w:proofErr w:type="spellEnd"/>
      <w:r w:rsidRPr="00E12494">
        <w:rPr>
          <w:bCs/>
          <w:sz w:val="24"/>
        </w:rPr>
        <w:t xml:space="preserve"> is the only VA website hosted in a demilitarized zone (DMZ). The MVP needs the ability to recruit, enroll, and manage participants, especially with secure messaging capability.</w:t>
      </w:r>
    </w:p>
    <w:p w:rsidR="004E62E3" w:rsidRDefault="004E62E3" w:rsidP="004E62E3">
      <w:pPr>
        <w:autoSpaceDE w:val="0"/>
        <w:autoSpaceDN w:val="0"/>
        <w:adjustRightInd w:val="0"/>
        <w:spacing w:before="120" w:after="120"/>
        <w:rPr>
          <w:b/>
          <w:bCs/>
          <w:sz w:val="24"/>
        </w:rPr>
      </w:pPr>
      <w:r w:rsidRPr="00DB3C0E">
        <w:rPr>
          <w:b/>
          <w:bCs/>
          <w:sz w:val="24"/>
        </w:rPr>
        <w:t>There are no known outstanding Red Flag issues.</w:t>
      </w:r>
    </w:p>
    <w:p w:rsidR="004E62E3" w:rsidRPr="001A34DE" w:rsidRDefault="004E62E3" w:rsidP="004E62E3">
      <w:pPr>
        <w:pStyle w:val="BodyText"/>
      </w:pPr>
      <w:r>
        <w:t xml:space="preserve">The </w:t>
      </w:r>
      <w:r w:rsidRPr="001A34DE">
        <w:t>VA</w:t>
      </w:r>
      <w:r>
        <w:t xml:space="preserve"> established</w:t>
      </w:r>
      <w:r w:rsidRPr="001A34DE">
        <w:t xml:space="preserve"> its leadership in genomic medicine by undertaking a ground-breaking program</w:t>
      </w:r>
      <w:r>
        <w:t>,</w:t>
      </w:r>
      <w:r w:rsidRPr="001A34DE">
        <w:t xml:space="preserve"> called the Million Veteran Program (MVP). </w:t>
      </w:r>
      <w:r>
        <w:t xml:space="preserve">The </w:t>
      </w:r>
      <w:r w:rsidRPr="001A34DE">
        <w:t xml:space="preserve">MVP </w:t>
      </w:r>
      <w:r>
        <w:t>was launched on January 5, 2011,</w:t>
      </w:r>
      <w:r w:rsidRPr="001A34DE">
        <w:t xml:space="preserve"> and is currently recruiting at 50 VA sites nationally. The goal in the next </w:t>
      </w:r>
      <w:r>
        <w:t>one to two</w:t>
      </w:r>
      <w:r w:rsidRPr="001A34DE">
        <w:t xml:space="preserve"> years is to increase the number of recruiting sites to enable MVP to reach across to more Veterans in geographically</w:t>
      </w:r>
      <w:r>
        <w:t xml:space="preserve"> </w:t>
      </w:r>
      <w:r w:rsidRPr="001A34DE">
        <w:t>disparate locations</w:t>
      </w:r>
      <w:r>
        <w:t>,</w:t>
      </w:r>
      <w:r w:rsidRPr="001A34DE">
        <w:t xml:space="preserve"> as well as enable recruiting of active</w:t>
      </w:r>
      <w:r>
        <w:t>-</w:t>
      </w:r>
      <w:r w:rsidRPr="001A34DE">
        <w:t xml:space="preserve">duty personnel </w:t>
      </w:r>
      <w:r>
        <w:t>from the Department of Defense (</w:t>
      </w:r>
      <w:proofErr w:type="gramStart"/>
      <w:r>
        <w:t>DoD</w:t>
      </w:r>
      <w:proofErr w:type="gramEnd"/>
      <w:r>
        <w:t>).</w:t>
      </w:r>
    </w:p>
    <w:p w:rsidR="004E62E3" w:rsidRPr="001A34DE" w:rsidRDefault="004E62E3" w:rsidP="004E62E3">
      <w:pPr>
        <w:pStyle w:val="BodyText"/>
      </w:pPr>
      <w:r>
        <w:t xml:space="preserve">The </w:t>
      </w:r>
      <w:r w:rsidRPr="001A34DE">
        <w:t xml:space="preserve">MVP invites users of </w:t>
      </w:r>
      <w:r w:rsidRPr="006F457A">
        <w:t>the</w:t>
      </w:r>
      <w:r w:rsidRPr="001A34DE">
        <w:t xml:space="preserve"> VA healthcare system nationwide to participate in a longitudinal study with the aim of</w:t>
      </w:r>
      <w:r>
        <w:t xml:space="preserve"> better understanding the inter</w:t>
      </w:r>
      <w:r w:rsidRPr="001A34DE">
        <w:t>relation of genetic characteristics, behaviors</w:t>
      </w:r>
      <w:r>
        <w:t>,</w:t>
      </w:r>
      <w:r w:rsidRPr="001A34DE">
        <w:t xml:space="preserve"> and environmental factors, and </w:t>
      </w:r>
      <w:r>
        <w:t xml:space="preserve">a </w:t>
      </w:r>
      <w:r w:rsidRPr="001A34DE">
        <w:t>Veteran’s health. The goal of the program is to establish one of the largest research resources to date, consisting of blood samples from consenting Veterans and data from questionnaires and electronic health record</w:t>
      </w:r>
      <w:r>
        <w:t>s</w:t>
      </w:r>
      <w:r w:rsidRPr="001A34DE">
        <w:t>. This resource will be made available to VA researchers and VA-approved affiliates to pursue genomic discoveries and validation studies that can lead to personalized healthcare for Veterans. Ultimately, over the long term, validated scientific findings will be returned to the medical record to fulfill the potential of personalized medicine</w:t>
      </w:r>
      <w:r>
        <w:t>—</w:t>
      </w:r>
      <w:r w:rsidRPr="001A34DE">
        <w:t>delivery of optimal interventions to patients based on t</w:t>
      </w:r>
      <w:r>
        <w:t>heir biological characteristics.</w:t>
      </w:r>
    </w:p>
    <w:p w:rsidR="004E62E3" w:rsidRPr="001A34DE" w:rsidRDefault="004E62E3" w:rsidP="004E62E3">
      <w:pPr>
        <w:pStyle w:val="BodyText"/>
      </w:pPr>
      <w:r w:rsidRPr="001A34DE">
        <w:t>The critical activities for this program are (1) enrolling consenting Veterans to the study, (2) drawing their blood and shipping samples to the biorepository in Boston (</w:t>
      </w:r>
      <w:r w:rsidRPr="005234DE">
        <w:rPr>
          <w:szCs w:val="24"/>
        </w:rPr>
        <w:t xml:space="preserve">Massachusetts Veterans Epidemiology Research and Information Center </w:t>
      </w:r>
      <w:r>
        <w:rPr>
          <w:szCs w:val="24"/>
        </w:rPr>
        <w:t>[</w:t>
      </w:r>
      <w:r w:rsidRPr="001A34DE">
        <w:t>MAVERIC</w:t>
      </w:r>
      <w:r>
        <w:t>]</w:t>
      </w:r>
      <w:r w:rsidRPr="001A34DE">
        <w:t>), (3) processing the blood samples and storing the samples under the appropriate environmental conditions, and (</w:t>
      </w:r>
      <w:r>
        <w:t>4</w:t>
      </w:r>
      <w:r w:rsidRPr="001A34DE">
        <w:t>) establishing an electronic system for the integration of research, genomic, specimen, clinical data and self-reported data</w:t>
      </w:r>
      <w:r>
        <w:t>,</w:t>
      </w:r>
      <w:r w:rsidRPr="001A34DE">
        <w:t xml:space="preserve"> and perform</w:t>
      </w:r>
      <w:r>
        <w:t>ance of</w:t>
      </w:r>
      <w:r w:rsidRPr="001A34DE">
        <w:t xml:space="preserve"> high</w:t>
      </w:r>
      <w:r>
        <w:t>-</w:t>
      </w:r>
      <w:r w:rsidRPr="001A34DE">
        <w:t>power genomic analysis for new dis</w:t>
      </w:r>
      <w:r>
        <w:t>covery and validation.</w:t>
      </w:r>
    </w:p>
    <w:p w:rsidR="004E62E3" w:rsidRDefault="00F45A2E" w:rsidP="004E62E3">
      <w:pPr>
        <w:pStyle w:val="BodyText"/>
      </w:pPr>
      <w:r>
        <w:t>Genisis2</w:t>
      </w:r>
      <w:r w:rsidR="004E62E3">
        <w:t xml:space="preserve"> is t</w:t>
      </w:r>
      <w:r w:rsidR="004E62E3" w:rsidRPr="001A34DE">
        <w:t xml:space="preserve">he primary </w:t>
      </w:r>
      <w:r w:rsidR="004E62E3">
        <w:t>Information Technology (</w:t>
      </w:r>
      <w:r w:rsidR="004E62E3" w:rsidRPr="001A34DE">
        <w:t>IT</w:t>
      </w:r>
      <w:r w:rsidR="004E62E3">
        <w:t>)</w:t>
      </w:r>
      <w:r w:rsidR="004E62E3" w:rsidRPr="001A34DE">
        <w:t xml:space="preserve"> component of the project. </w:t>
      </w:r>
      <w:r>
        <w:t>Genisis2</w:t>
      </w:r>
      <w:r w:rsidR="004E62E3" w:rsidRPr="001A34DE">
        <w:t xml:space="preserve"> features a series of applications to facilitate recruitment and enrollment of MVP, automating most study-related logistics</w:t>
      </w:r>
      <w:r w:rsidR="004E62E3">
        <w:t>,</w:t>
      </w:r>
      <w:r w:rsidR="004E62E3" w:rsidRPr="001A34DE">
        <w:t xml:space="preserve"> including study enrollment, clinical study data capture, consent, blood sample tracking, and genomic data storage. </w:t>
      </w:r>
      <w:r>
        <w:t>Genisis2</w:t>
      </w:r>
      <w:r w:rsidR="004E62E3" w:rsidRPr="001A34DE">
        <w:t xml:space="preserve"> also provides the secure analytical infrastructure necessary to conduct robust genomic and bioinformatics-related data management and data analysis. This remotely accessible analysis environment will feature a high performance computing cluster or appropriate secure cloud infrastructure with significant storage</w:t>
      </w:r>
      <w:r w:rsidR="004E62E3" w:rsidRPr="007B1BDB">
        <w:t xml:space="preserve"> capacity and tools for scientific analysis of combined genotypic and phenotypic data. A key component of delivering personalized medicine will involve curating relevant genomic information and providing it back to clinicians in </w:t>
      </w:r>
      <w:r w:rsidR="004E62E3">
        <w:t xml:space="preserve">the </w:t>
      </w:r>
      <w:r w:rsidR="004E62E3" w:rsidRPr="008642D8">
        <w:t>Veterans Health Administration</w:t>
      </w:r>
      <w:r w:rsidR="004E62E3">
        <w:t xml:space="preserve"> (</w:t>
      </w:r>
      <w:r w:rsidR="004E62E3" w:rsidRPr="007B1BDB">
        <w:t>VHA</w:t>
      </w:r>
      <w:r w:rsidR="004E62E3">
        <w:t>),</w:t>
      </w:r>
      <w:r w:rsidR="004E62E3" w:rsidRPr="007B1BDB">
        <w:t xml:space="preserve"> along with interpretive materials and tools</w:t>
      </w:r>
      <w:r w:rsidR="004E62E3">
        <w:t>,</w:t>
      </w:r>
      <w:r w:rsidR="004E62E3" w:rsidRPr="007B1BDB">
        <w:t xml:space="preserve"> either through </w:t>
      </w:r>
      <w:r w:rsidR="004E62E3">
        <w:t xml:space="preserve">the </w:t>
      </w:r>
      <w:r w:rsidR="004E62E3" w:rsidRPr="008642D8">
        <w:t>Electronic Medical Record</w:t>
      </w:r>
      <w:r w:rsidR="004E62E3">
        <w:t xml:space="preserve"> (</w:t>
      </w:r>
      <w:r w:rsidR="004E62E3" w:rsidRPr="007B1BDB">
        <w:t>EMR</w:t>
      </w:r>
      <w:r w:rsidR="004E62E3">
        <w:t>)</w:t>
      </w:r>
      <w:r w:rsidR="004E62E3" w:rsidRPr="007B1BDB">
        <w:t xml:space="preserve"> or other </w:t>
      </w:r>
      <w:r w:rsidR="004E62E3" w:rsidRPr="007B1BDB">
        <w:lastRenderedPageBreak/>
        <w:t xml:space="preserve">web interfaces for clinical decision support. The return of results to the VA </w:t>
      </w:r>
      <w:r w:rsidR="004E62E3" w:rsidRPr="00012112">
        <w:t>Veterans Health Information Systems and Technology Architecture</w:t>
      </w:r>
      <w:r w:rsidR="004E62E3">
        <w:t xml:space="preserve"> (</w:t>
      </w:r>
      <w:proofErr w:type="spellStart"/>
      <w:r w:rsidR="004E62E3" w:rsidRPr="007B1BDB">
        <w:t>Vist</w:t>
      </w:r>
      <w:r w:rsidR="004E62E3">
        <w:t>A</w:t>
      </w:r>
      <w:proofErr w:type="spellEnd"/>
      <w:r w:rsidR="004E62E3">
        <w:t>)</w:t>
      </w:r>
      <w:r w:rsidR="004E62E3" w:rsidRPr="007B1BDB">
        <w:t xml:space="preserve"> </w:t>
      </w:r>
      <w:r w:rsidR="004E62E3">
        <w:t>s</w:t>
      </w:r>
      <w:r w:rsidR="004E62E3" w:rsidRPr="007B1BDB">
        <w:t xml:space="preserve">ystem for decision support is also envisioned in the next </w:t>
      </w:r>
      <w:r w:rsidR="004E62E3">
        <w:t xml:space="preserve">three-to-five </w:t>
      </w:r>
      <w:r w:rsidR="004E62E3" w:rsidRPr="007B1BDB">
        <w:t xml:space="preserve">year plan. The resources provided by </w:t>
      </w:r>
      <w:r>
        <w:t>Genisis2</w:t>
      </w:r>
      <w:r w:rsidR="004E62E3" w:rsidRPr="007B1BDB">
        <w:t xml:space="preserve"> will be used for research initiatives to establish processes and expertise around genomic medicine and will provide capabilities that can be built upon as a foundation to deliver personalized medicine within the health care delivery process.</w:t>
      </w:r>
    </w:p>
    <w:p w:rsidR="00D61E13" w:rsidRDefault="00D61E13" w:rsidP="00D61E13">
      <w:pPr>
        <w:pStyle w:val="BodyText"/>
      </w:pPr>
    </w:p>
    <w:p w:rsidR="00D61E13" w:rsidRDefault="00D61E13" w:rsidP="00D61E13">
      <w:pPr>
        <w:pStyle w:val="Heading1"/>
        <w:pageBreakBefore w:val="0"/>
      </w:pPr>
      <w:bookmarkStart w:id="3" w:name="_Toc485322792"/>
      <w:r>
        <w:t>Product / Project Document/Artifact Repository</w:t>
      </w:r>
      <w:bookmarkEnd w:id="3"/>
    </w:p>
    <w:p w:rsidR="003E7770" w:rsidRDefault="003E7770" w:rsidP="003E7770">
      <w:pPr>
        <w:pStyle w:val="BodyText"/>
      </w:pPr>
      <w:r>
        <w:t xml:space="preserve">Documentation is found in the </w:t>
      </w:r>
      <w:hyperlink r:id="rId22" w:history="1">
        <w:r w:rsidR="00EE1BC0">
          <w:rPr>
            <w:rStyle w:val="Hyperlink"/>
          </w:rPr>
          <w:t>Genisis</w:t>
        </w:r>
        <w:r w:rsidR="00911696">
          <w:rPr>
            <w:rStyle w:val="Hyperlink"/>
          </w:rPr>
          <w:t>2</w:t>
        </w:r>
        <w:r>
          <w:rPr>
            <w:rStyle w:val="Hyperlink"/>
          </w:rPr>
          <w:t xml:space="preserve"> Product Document &amp; Artifact Repository</w:t>
        </w:r>
      </w:hyperlink>
      <w:r w:rsidRPr="00634906">
        <w:rPr>
          <w:sz w:val="23"/>
          <w:szCs w:val="23"/>
        </w:rPr>
        <w:t>.</w:t>
      </w:r>
    </w:p>
    <w:p w:rsidR="00D61E13" w:rsidRDefault="00D61E13" w:rsidP="00D61E13">
      <w:pPr>
        <w:pStyle w:val="BodyText"/>
      </w:pPr>
    </w:p>
    <w:p w:rsidR="00D61E13" w:rsidRDefault="00D61E13" w:rsidP="00D61E13">
      <w:pPr>
        <w:pStyle w:val="Heading1"/>
        <w:pageBreakBefore w:val="0"/>
      </w:pPr>
      <w:bookmarkStart w:id="4" w:name="_Toc485322793"/>
      <w:r>
        <w:t>Assessment &amp; Authorization SMART Status</w:t>
      </w:r>
      <w:bookmarkEnd w:id="4"/>
      <w:r>
        <w:t xml:space="preserve"> </w:t>
      </w:r>
    </w:p>
    <w:p w:rsidR="00CA3365" w:rsidRDefault="00EE1BC0" w:rsidP="00CA3365">
      <w:pPr>
        <w:rPr>
          <w:sz w:val="24"/>
        </w:rPr>
      </w:pPr>
      <w:r>
        <w:rPr>
          <w:sz w:val="24"/>
        </w:rPr>
        <w:t>Genisis</w:t>
      </w:r>
      <w:r w:rsidR="00976A00">
        <w:rPr>
          <w:sz w:val="24"/>
        </w:rPr>
        <w:t>2</w:t>
      </w:r>
      <w:r w:rsidR="00CA3365" w:rsidRPr="00EC6704">
        <w:rPr>
          <w:sz w:val="24"/>
        </w:rPr>
        <w:t xml:space="preserve"> security will be reviewed for approval to upgrade from its current Temporary Authority to Operate </w:t>
      </w:r>
      <w:r w:rsidR="00CA3365">
        <w:rPr>
          <w:sz w:val="24"/>
        </w:rPr>
        <w:t>(</w:t>
      </w:r>
      <w:r w:rsidR="00CA3365" w:rsidRPr="00EC6704">
        <w:rPr>
          <w:sz w:val="24"/>
        </w:rPr>
        <w:t>TATO</w:t>
      </w:r>
      <w:r w:rsidR="00CA3365">
        <w:rPr>
          <w:sz w:val="24"/>
        </w:rPr>
        <w:t>)</w:t>
      </w:r>
      <w:r w:rsidR="00CA3365" w:rsidRPr="00EC6704">
        <w:rPr>
          <w:sz w:val="24"/>
        </w:rPr>
        <w:t xml:space="preserve"> to the </w:t>
      </w:r>
      <w:r w:rsidR="00147823">
        <w:rPr>
          <w:sz w:val="24"/>
        </w:rPr>
        <w:t>Authority to Operate (</w:t>
      </w:r>
      <w:r w:rsidR="00CA3365" w:rsidRPr="00EC6704">
        <w:rPr>
          <w:sz w:val="24"/>
        </w:rPr>
        <w:t>ATO</w:t>
      </w:r>
      <w:r w:rsidR="00147823">
        <w:rPr>
          <w:sz w:val="24"/>
        </w:rPr>
        <w:t>)</w:t>
      </w:r>
      <w:r w:rsidR="00CA3365" w:rsidRPr="00EC6704">
        <w:rPr>
          <w:sz w:val="24"/>
        </w:rPr>
        <w:t xml:space="preserve"> certification through the Assessment </w:t>
      </w:r>
      <w:r w:rsidR="00CA3365">
        <w:rPr>
          <w:sz w:val="24"/>
        </w:rPr>
        <w:t>and</w:t>
      </w:r>
      <w:r w:rsidR="00CA3365" w:rsidRPr="00EC6704">
        <w:rPr>
          <w:sz w:val="24"/>
        </w:rPr>
        <w:t xml:space="preserve"> Authorization (A&amp;A) process. A&amp;A approval is a prerequisite for ATO certification. </w:t>
      </w:r>
      <w:r>
        <w:rPr>
          <w:sz w:val="24"/>
        </w:rPr>
        <w:t>Genisis</w:t>
      </w:r>
      <w:r w:rsidR="00976A00">
        <w:rPr>
          <w:sz w:val="24"/>
        </w:rPr>
        <w:t>2</w:t>
      </w:r>
      <w:r w:rsidR="00CA3365" w:rsidRPr="00EC6704">
        <w:rPr>
          <w:sz w:val="24"/>
        </w:rPr>
        <w:t xml:space="preserve"> will undergo a series of scans and assessment tests to validate security of the software code, the database, and the firewall. The discovery of any “Critical” or “High” risks will be mitigated, and subsequent scans </w:t>
      </w:r>
      <w:r w:rsidR="00CA3365">
        <w:rPr>
          <w:sz w:val="24"/>
        </w:rPr>
        <w:t xml:space="preserve">will validate </w:t>
      </w:r>
      <w:r w:rsidR="00CA3365" w:rsidRPr="00EC6704">
        <w:rPr>
          <w:sz w:val="24"/>
        </w:rPr>
        <w:t xml:space="preserve">that the risks have been remediated. For </w:t>
      </w:r>
      <w:r>
        <w:rPr>
          <w:sz w:val="24"/>
        </w:rPr>
        <w:t>Genisis</w:t>
      </w:r>
      <w:r w:rsidR="00911696">
        <w:rPr>
          <w:sz w:val="24"/>
        </w:rPr>
        <w:t>2</w:t>
      </w:r>
      <w:r w:rsidR="00CA3365" w:rsidRPr="00EC6704">
        <w:rPr>
          <w:sz w:val="24"/>
        </w:rPr>
        <w:t xml:space="preserve">, Service Level Agreement Modification (SLAM) #16-051 is now in place to engage the support of Enterprise Operations (EO). EO will facilitate the ATO process and collaborate with </w:t>
      </w:r>
      <w:r>
        <w:rPr>
          <w:sz w:val="24"/>
        </w:rPr>
        <w:t>Genisis</w:t>
      </w:r>
      <w:r w:rsidR="00976A00">
        <w:rPr>
          <w:sz w:val="24"/>
        </w:rPr>
        <w:t>2</w:t>
      </w:r>
      <w:r w:rsidR="00CA3365" w:rsidRPr="00EC6704">
        <w:rPr>
          <w:sz w:val="24"/>
        </w:rPr>
        <w:t xml:space="preserve"> management to ensure that </w:t>
      </w:r>
      <w:r>
        <w:rPr>
          <w:sz w:val="24"/>
        </w:rPr>
        <w:t>Genisis</w:t>
      </w:r>
      <w:r w:rsidR="00976A00">
        <w:rPr>
          <w:sz w:val="24"/>
        </w:rPr>
        <w:t>2</w:t>
      </w:r>
      <w:r w:rsidR="00CA3365" w:rsidRPr="00EC6704">
        <w:rPr>
          <w:sz w:val="24"/>
        </w:rPr>
        <w:t xml:space="preserve"> achieves its ATO</w:t>
      </w:r>
      <w:r w:rsidR="00CA3365">
        <w:rPr>
          <w:sz w:val="24"/>
        </w:rPr>
        <w:t xml:space="preserve"> </w:t>
      </w:r>
      <w:r w:rsidR="00CA3365" w:rsidRPr="00EC6704">
        <w:rPr>
          <w:sz w:val="24"/>
        </w:rPr>
        <w:t>certification.</w:t>
      </w:r>
      <w:r w:rsidR="00CA3365">
        <w:rPr>
          <w:sz w:val="24"/>
        </w:rPr>
        <w:t xml:space="preserve"> </w:t>
      </w:r>
    </w:p>
    <w:p w:rsidR="00CA3365" w:rsidRDefault="00EE1BC0" w:rsidP="00CA3365">
      <w:pPr>
        <w:pStyle w:val="BodyText"/>
      </w:pPr>
      <w:r>
        <w:t>Genisis</w:t>
      </w:r>
      <w:r w:rsidR="00976A00">
        <w:t>2</w:t>
      </w:r>
      <w:r w:rsidR="00CA3365">
        <w:t xml:space="preserve"> will inherit it</w:t>
      </w:r>
      <w:r w:rsidR="00CA3365" w:rsidRPr="005F4AE4">
        <w:t>s security posture from the Pit</w:t>
      </w:r>
      <w:r w:rsidR="00CA3365">
        <w:t>tsburgh and Boston LANs and is covered</w:t>
      </w:r>
      <w:r w:rsidR="00CA3365" w:rsidRPr="005F4AE4">
        <w:t xml:space="preserve"> under the LAN ATO</w:t>
      </w:r>
      <w:r w:rsidR="00CA3365">
        <w:t xml:space="preserve"> agreements of the two sites. An effort has been started with Enterprise Operations to consolidate the regional ATOs into a national ATO.</w:t>
      </w:r>
    </w:p>
    <w:p w:rsidR="00CA3365" w:rsidRDefault="00CA3365" w:rsidP="00CA3365">
      <w:pPr>
        <w:spacing w:before="120" w:after="120"/>
      </w:pPr>
      <w:r w:rsidRPr="00286B66">
        <w:rPr>
          <w:sz w:val="24"/>
          <w:szCs w:val="20"/>
        </w:rPr>
        <w:t xml:space="preserve">Security enhancements are </w:t>
      </w:r>
      <w:r>
        <w:rPr>
          <w:sz w:val="24"/>
          <w:szCs w:val="20"/>
        </w:rPr>
        <w:t>required</w:t>
      </w:r>
      <w:r w:rsidRPr="00286B66">
        <w:rPr>
          <w:sz w:val="24"/>
          <w:szCs w:val="20"/>
        </w:rPr>
        <w:t xml:space="preserve"> to meet Federal mandates, </w:t>
      </w:r>
      <w:r>
        <w:rPr>
          <w:sz w:val="24"/>
          <w:szCs w:val="20"/>
        </w:rPr>
        <w:t>for example,</w:t>
      </w:r>
      <w:r w:rsidRPr="00286B66">
        <w:rPr>
          <w:sz w:val="24"/>
          <w:szCs w:val="20"/>
        </w:rPr>
        <w:t xml:space="preserve"> the addition of </w:t>
      </w:r>
      <w:r w:rsidR="00147823">
        <w:rPr>
          <w:sz w:val="24"/>
          <w:szCs w:val="20"/>
        </w:rPr>
        <w:t xml:space="preserve">Personal </w:t>
      </w:r>
      <w:proofErr w:type="spellStart"/>
      <w:r w:rsidR="00147823">
        <w:rPr>
          <w:sz w:val="24"/>
          <w:szCs w:val="20"/>
        </w:rPr>
        <w:t>Indentification</w:t>
      </w:r>
      <w:proofErr w:type="spellEnd"/>
      <w:r w:rsidR="00147823">
        <w:rPr>
          <w:sz w:val="24"/>
          <w:szCs w:val="20"/>
        </w:rPr>
        <w:t xml:space="preserve"> &amp; Verification (</w:t>
      </w:r>
      <w:r w:rsidRPr="00286B66">
        <w:rPr>
          <w:sz w:val="24"/>
          <w:szCs w:val="20"/>
        </w:rPr>
        <w:t>PIV</w:t>
      </w:r>
      <w:r w:rsidR="00147823">
        <w:rPr>
          <w:sz w:val="24"/>
          <w:szCs w:val="20"/>
        </w:rPr>
        <w:t>)</w:t>
      </w:r>
      <w:r w:rsidRPr="00286B66">
        <w:rPr>
          <w:sz w:val="24"/>
          <w:szCs w:val="20"/>
        </w:rPr>
        <w:t xml:space="preserve">, for controlling access to VA systems by </w:t>
      </w:r>
      <w:r>
        <w:rPr>
          <w:sz w:val="24"/>
          <w:szCs w:val="20"/>
        </w:rPr>
        <w:t xml:space="preserve">all </w:t>
      </w:r>
      <w:r w:rsidRPr="00286B66">
        <w:rPr>
          <w:sz w:val="24"/>
          <w:szCs w:val="20"/>
        </w:rPr>
        <w:t xml:space="preserve">VA users. In addition, new functionality is added to improve provisioning of </w:t>
      </w:r>
      <w:r w:rsidR="00147823">
        <w:rPr>
          <w:sz w:val="24"/>
          <w:szCs w:val="20"/>
        </w:rPr>
        <w:t>Access Control Lists (</w:t>
      </w:r>
      <w:r w:rsidRPr="00286B66">
        <w:rPr>
          <w:sz w:val="24"/>
          <w:szCs w:val="20"/>
        </w:rPr>
        <w:t>ACLs</w:t>
      </w:r>
      <w:r w:rsidR="00147823">
        <w:rPr>
          <w:sz w:val="24"/>
          <w:szCs w:val="20"/>
        </w:rPr>
        <w:t>)</w:t>
      </w:r>
      <w:r w:rsidRPr="00286B66">
        <w:rPr>
          <w:sz w:val="24"/>
          <w:szCs w:val="20"/>
        </w:rPr>
        <w:t xml:space="preserve"> to manage researcher access to study marts. </w:t>
      </w:r>
      <w:r w:rsidRPr="00EC6704">
        <w:rPr>
          <w:sz w:val="24"/>
        </w:rPr>
        <w:t xml:space="preserve">The new security enhancements will meet the two-factor authentication required for </w:t>
      </w:r>
      <w:r w:rsidR="00147823">
        <w:rPr>
          <w:sz w:val="24"/>
        </w:rPr>
        <w:t>ATO</w:t>
      </w:r>
      <w:r w:rsidRPr="00EC6704">
        <w:rPr>
          <w:sz w:val="24"/>
        </w:rPr>
        <w:t xml:space="preserve"> certification.</w:t>
      </w:r>
    </w:p>
    <w:p w:rsidR="00D61E13" w:rsidRDefault="00D61E13" w:rsidP="00D61E13">
      <w:pPr>
        <w:pStyle w:val="Heading1"/>
      </w:pPr>
      <w:bookmarkStart w:id="5" w:name="_Toc485322794"/>
      <w:r>
        <w:lastRenderedPageBreak/>
        <w:t>Physical Support Requirements</w:t>
      </w:r>
      <w:bookmarkEnd w:id="5"/>
      <w:r>
        <w:t xml:space="preserve"> </w:t>
      </w:r>
    </w:p>
    <w:p w:rsidR="00DE1B01" w:rsidRPr="00DE1B01" w:rsidRDefault="00EE1BC0" w:rsidP="00DE1B01">
      <w:pPr>
        <w:spacing w:before="120" w:after="120"/>
        <w:rPr>
          <w:color w:val="auto"/>
          <w:sz w:val="24"/>
          <w:szCs w:val="20"/>
        </w:rPr>
      </w:pPr>
      <w:r>
        <w:rPr>
          <w:iCs/>
          <w:color w:val="auto"/>
          <w:sz w:val="24"/>
          <w:szCs w:val="20"/>
        </w:rPr>
        <w:t>Genisis</w:t>
      </w:r>
      <w:r w:rsidR="00911696">
        <w:rPr>
          <w:iCs/>
          <w:color w:val="auto"/>
          <w:sz w:val="24"/>
          <w:szCs w:val="20"/>
        </w:rPr>
        <w:t>2</w:t>
      </w:r>
      <w:r w:rsidR="00DE1B01" w:rsidRPr="00DE1B01">
        <w:rPr>
          <w:iCs/>
          <w:color w:val="auto"/>
          <w:sz w:val="24"/>
          <w:szCs w:val="20"/>
        </w:rPr>
        <w:t xml:space="preserve"> will continue to retain its status as a “Medical Device” program, with the intent to remain exempt from the EA Technology Reference Model (TRM) requirements. </w:t>
      </w:r>
      <w:r w:rsidR="00DE1B01" w:rsidRPr="00DE1B01">
        <w:rPr>
          <w:color w:val="auto"/>
          <w:sz w:val="24"/>
          <w:szCs w:val="20"/>
        </w:rPr>
        <w:t xml:space="preserve">Because of the high-computational/scientific computing aspects related to investigational genomics, </w:t>
      </w:r>
      <w:r>
        <w:rPr>
          <w:color w:val="auto"/>
          <w:sz w:val="24"/>
          <w:szCs w:val="20"/>
        </w:rPr>
        <w:t>Genisis</w:t>
      </w:r>
      <w:r w:rsidR="00976A00">
        <w:rPr>
          <w:color w:val="auto"/>
          <w:sz w:val="24"/>
          <w:szCs w:val="20"/>
        </w:rPr>
        <w:t>2</w:t>
      </w:r>
      <w:r w:rsidR="00DE1B01" w:rsidRPr="00DE1B01">
        <w:rPr>
          <w:color w:val="auto"/>
          <w:sz w:val="24"/>
          <w:szCs w:val="20"/>
        </w:rPr>
        <w:t xml:space="preserve"> is “isolated” and behind a Virtual Local Area Network (VLAN)/</w:t>
      </w:r>
      <w:r w:rsidR="00147823">
        <w:rPr>
          <w:color w:val="auto"/>
          <w:sz w:val="24"/>
          <w:szCs w:val="20"/>
        </w:rPr>
        <w:t>ACL</w:t>
      </w:r>
      <w:r w:rsidR="00DE1B01" w:rsidRPr="00DE1B01">
        <w:rPr>
          <w:color w:val="auto"/>
          <w:sz w:val="24"/>
          <w:szCs w:val="20"/>
        </w:rPr>
        <w:t xml:space="preserve"> and does not sit on the VA Backbone; therefore, </w:t>
      </w:r>
      <w:r>
        <w:rPr>
          <w:color w:val="auto"/>
          <w:sz w:val="24"/>
          <w:szCs w:val="20"/>
        </w:rPr>
        <w:t>Genisis</w:t>
      </w:r>
      <w:r w:rsidR="00976A00">
        <w:rPr>
          <w:color w:val="auto"/>
          <w:sz w:val="24"/>
          <w:szCs w:val="20"/>
        </w:rPr>
        <w:t>2</w:t>
      </w:r>
      <w:r w:rsidR="00DE1B01" w:rsidRPr="00DE1B01">
        <w:rPr>
          <w:color w:val="auto"/>
          <w:sz w:val="24"/>
          <w:szCs w:val="20"/>
        </w:rPr>
        <w:t xml:space="preserve"> shall meet the criteria required of a Medical Device Isolation Architecture.</w:t>
      </w:r>
    </w:p>
    <w:p w:rsidR="00DE1B01" w:rsidRPr="00DE1B01" w:rsidRDefault="00EE1BC0" w:rsidP="00DE1B01">
      <w:pPr>
        <w:spacing w:before="120" w:after="120"/>
        <w:rPr>
          <w:color w:val="auto"/>
          <w:sz w:val="24"/>
          <w:szCs w:val="20"/>
        </w:rPr>
      </w:pPr>
      <w:r>
        <w:rPr>
          <w:color w:val="auto"/>
          <w:sz w:val="24"/>
          <w:szCs w:val="20"/>
        </w:rPr>
        <w:t>Genisis</w:t>
      </w:r>
      <w:r w:rsidR="00976A00">
        <w:rPr>
          <w:color w:val="auto"/>
          <w:sz w:val="24"/>
          <w:szCs w:val="20"/>
        </w:rPr>
        <w:t>2</w:t>
      </w:r>
      <w:r w:rsidR="00DE1B01" w:rsidRPr="00DE1B01">
        <w:rPr>
          <w:color w:val="auto"/>
          <w:sz w:val="24"/>
          <w:szCs w:val="20"/>
        </w:rPr>
        <w:t xml:space="preserve"> Recruitment and Enrollment, Scientific, and LIMS environments are physically located at 2 sites:</w:t>
      </w:r>
    </w:p>
    <w:p w:rsidR="00DE1B01" w:rsidRPr="00AC61CD" w:rsidRDefault="00DE1B01" w:rsidP="00AC61CD">
      <w:pPr>
        <w:pStyle w:val="ListParagraph"/>
        <w:numPr>
          <w:ilvl w:val="0"/>
          <w:numId w:val="36"/>
        </w:numPr>
        <w:spacing w:before="120" w:after="120"/>
        <w:rPr>
          <w:color w:val="auto"/>
          <w:szCs w:val="20"/>
        </w:rPr>
      </w:pPr>
      <w:r w:rsidRPr="00AC61CD">
        <w:rPr>
          <w:color w:val="auto"/>
          <w:szCs w:val="20"/>
        </w:rPr>
        <w:t>VA Boston Health Care System (Jamaica Plain)</w:t>
      </w:r>
    </w:p>
    <w:p w:rsidR="00DE1B01" w:rsidRPr="00AC61CD" w:rsidRDefault="00DE1B01" w:rsidP="00AC61CD">
      <w:pPr>
        <w:pStyle w:val="ListParagraph"/>
        <w:numPr>
          <w:ilvl w:val="0"/>
          <w:numId w:val="36"/>
        </w:numPr>
        <w:spacing w:before="120" w:after="120"/>
        <w:rPr>
          <w:color w:val="auto"/>
          <w:szCs w:val="20"/>
        </w:rPr>
      </w:pPr>
      <w:r w:rsidRPr="00AC61CD">
        <w:rPr>
          <w:color w:val="auto"/>
          <w:szCs w:val="20"/>
        </w:rPr>
        <w:t>Pittsburgh Health Care System</w:t>
      </w:r>
    </w:p>
    <w:p w:rsidR="00DE1B01" w:rsidRPr="00DE1B01" w:rsidRDefault="00DE1B01" w:rsidP="00DE1B01">
      <w:pPr>
        <w:spacing w:before="120" w:after="120"/>
        <w:rPr>
          <w:color w:val="auto"/>
          <w:sz w:val="24"/>
          <w:szCs w:val="20"/>
        </w:rPr>
      </w:pPr>
      <w:r w:rsidRPr="00DE1B01">
        <w:rPr>
          <w:color w:val="auto"/>
          <w:sz w:val="24"/>
          <w:szCs w:val="20"/>
        </w:rPr>
        <w:t xml:space="preserve">The physical support requirements are different for the environments of </w:t>
      </w:r>
      <w:r w:rsidR="00EE1BC0">
        <w:rPr>
          <w:color w:val="auto"/>
          <w:sz w:val="24"/>
          <w:szCs w:val="20"/>
        </w:rPr>
        <w:t>Genisis</w:t>
      </w:r>
      <w:r w:rsidR="00976A00">
        <w:rPr>
          <w:color w:val="auto"/>
          <w:sz w:val="24"/>
          <w:szCs w:val="20"/>
        </w:rPr>
        <w:t>2</w:t>
      </w:r>
      <w:r w:rsidRPr="00DE1B01">
        <w:rPr>
          <w:color w:val="auto"/>
          <w:sz w:val="24"/>
          <w:szCs w:val="20"/>
        </w:rPr>
        <w:t>.</w:t>
      </w:r>
    </w:p>
    <w:p w:rsidR="00DE1B01" w:rsidRPr="00DE1B01" w:rsidRDefault="00EE1BC0" w:rsidP="00AC61CD">
      <w:pPr>
        <w:spacing w:before="240" w:after="120"/>
        <w:rPr>
          <w:b/>
          <w:color w:val="auto"/>
          <w:sz w:val="24"/>
          <w:szCs w:val="20"/>
        </w:rPr>
      </w:pPr>
      <w:r>
        <w:rPr>
          <w:b/>
          <w:color w:val="auto"/>
          <w:sz w:val="24"/>
          <w:szCs w:val="20"/>
        </w:rPr>
        <w:t>Genisis</w:t>
      </w:r>
      <w:r w:rsidR="00976A00">
        <w:rPr>
          <w:b/>
          <w:color w:val="auto"/>
          <w:sz w:val="24"/>
          <w:szCs w:val="20"/>
        </w:rPr>
        <w:t>2</w:t>
      </w:r>
      <w:r w:rsidR="00DE1B01" w:rsidRPr="00DE1B01">
        <w:rPr>
          <w:b/>
          <w:color w:val="auto"/>
          <w:sz w:val="24"/>
          <w:szCs w:val="20"/>
        </w:rPr>
        <w:t xml:space="preserve"> Recruitment and Enrollment &amp; LIMS Environments</w:t>
      </w:r>
    </w:p>
    <w:p w:rsidR="00DE1B01" w:rsidRPr="00DE1B01" w:rsidRDefault="00DE1B01" w:rsidP="00DE1B01">
      <w:pPr>
        <w:spacing w:before="120" w:after="120"/>
        <w:rPr>
          <w:color w:val="auto"/>
          <w:sz w:val="24"/>
          <w:szCs w:val="20"/>
        </w:rPr>
      </w:pPr>
      <w:r w:rsidRPr="00DE1B01">
        <w:rPr>
          <w:color w:val="auto"/>
          <w:sz w:val="24"/>
          <w:szCs w:val="20"/>
        </w:rPr>
        <w:t xml:space="preserve">The VA host system will provide </w:t>
      </w:r>
      <w:r w:rsidR="00EE1BC0">
        <w:rPr>
          <w:color w:val="auto"/>
          <w:sz w:val="24"/>
          <w:szCs w:val="20"/>
        </w:rPr>
        <w:t>Genisis</w:t>
      </w:r>
      <w:r w:rsidR="00976A00">
        <w:rPr>
          <w:color w:val="auto"/>
          <w:sz w:val="24"/>
          <w:szCs w:val="20"/>
        </w:rPr>
        <w:t>2</w:t>
      </w:r>
      <w:r w:rsidRPr="00DE1B01">
        <w:rPr>
          <w:color w:val="auto"/>
          <w:sz w:val="24"/>
          <w:szCs w:val="20"/>
        </w:rPr>
        <w:t xml:space="preserve"> with at minimum incremental backups Monday through Friday and full </w:t>
      </w:r>
      <w:proofErr w:type="spellStart"/>
      <w:r w:rsidRPr="00DE1B01">
        <w:rPr>
          <w:color w:val="auto"/>
          <w:sz w:val="24"/>
          <w:szCs w:val="20"/>
        </w:rPr>
        <w:t>backup</w:t>
      </w:r>
      <w:proofErr w:type="spellEnd"/>
      <w:r w:rsidRPr="00DE1B01">
        <w:rPr>
          <w:color w:val="auto"/>
          <w:sz w:val="24"/>
          <w:szCs w:val="20"/>
        </w:rPr>
        <w:t xml:space="preserve"> processing once a week. Clones or copies of the backups will be sent offsite for safekeeping in a VA approved storage container. The below requirements will support </w:t>
      </w:r>
      <w:r w:rsidR="00EE1BC0">
        <w:rPr>
          <w:color w:val="auto"/>
          <w:sz w:val="24"/>
          <w:szCs w:val="20"/>
        </w:rPr>
        <w:t>Genisis</w:t>
      </w:r>
      <w:r w:rsidR="00976A00">
        <w:rPr>
          <w:color w:val="auto"/>
          <w:sz w:val="24"/>
          <w:szCs w:val="20"/>
        </w:rPr>
        <w:t>2</w:t>
      </w:r>
      <w:r w:rsidRPr="00DE1B01">
        <w:rPr>
          <w:color w:val="auto"/>
          <w:sz w:val="24"/>
          <w:szCs w:val="20"/>
        </w:rPr>
        <w:t>:</w:t>
      </w:r>
    </w:p>
    <w:p w:rsidR="00DE1B01" w:rsidRPr="00DE1B01" w:rsidRDefault="00DE1B01" w:rsidP="00DE1B01">
      <w:pPr>
        <w:numPr>
          <w:ilvl w:val="0"/>
          <w:numId w:val="30"/>
        </w:numPr>
        <w:spacing w:before="120" w:after="120"/>
        <w:rPr>
          <w:color w:val="auto"/>
          <w:sz w:val="24"/>
          <w:szCs w:val="20"/>
        </w:rPr>
      </w:pPr>
      <w:r w:rsidRPr="00DE1B01">
        <w:rPr>
          <w:color w:val="auto"/>
          <w:sz w:val="24"/>
          <w:szCs w:val="20"/>
        </w:rPr>
        <w:t>Designed to facilitate database backups within a corporate data center environment</w:t>
      </w:r>
    </w:p>
    <w:p w:rsidR="00DE1B01" w:rsidRPr="00DE1B01" w:rsidRDefault="00DE1B01" w:rsidP="00DE1B01">
      <w:pPr>
        <w:numPr>
          <w:ilvl w:val="0"/>
          <w:numId w:val="30"/>
        </w:numPr>
        <w:spacing w:before="120" w:after="120"/>
        <w:rPr>
          <w:color w:val="auto"/>
          <w:sz w:val="24"/>
          <w:szCs w:val="20"/>
        </w:rPr>
      </w:pPr>
      <w:r w:rsidRPr="00DE1B01">
        <w:rPr>
          <w:color w:val="auto"/>
          <w:sz w:val="24"/>
          <w:szCs w:val="20"/>
        </w:rPr>
        <w:t>Designed to be reloaded from a backup image and placed back into service</w:t>
      </w:r>
    </w:p>
    <w:p w:rsidR="00DE1B01" w:rsidRPr="00DE1B01" w:rsidRDefault="00DE1B01" w:rsidP="00DE1B01">
      <w:pPr>
        <w:numPr>
          <w:ilvl w:val="0"/>
          <w:numId w:val="30"/>
        </w:numPr>
        <w:spacing w:before="120" w:after="120"/>
        <w:rPr>
          <w:color w:val="auto"/>
          <w:sz w:val="24"/>
          <w:szCs w:val="20"/>
        </w:rPr>
      </w:pPr>
      <w:r w:rsidRPr="00DE1B01">
        <w:rPr>
          <w:color w:val="auto"/>
          <w:sz w:val="24"/>
          <w:szCs w:val="20"/>
        </w:rPr>
        <w:t>Designed to separate the operational site from the disaster recovery site</w:t>
      </w:r>
    </w:p>
    <w:p w:rsidR="00DE1B01" w:rsidRPr="00DE1B01" w:rsidRDefault="00DE1B01" w:rsidP="00DE1B01">
      <w:pPr>
        <w:numPr>
          <w:ilvl w:val="0"/>
          <w:numId w:val="30"/>
        </w:numPr>
        <w:spacing w:before="120" w:after="120"/>
        <w:rPr>
          <w:color w:val="auto"/>
          <w:sz w:val="24"/>
          <w:szCs w:val="20"/>
        </w:rPr>
      </w:pPr>
      <w:r w:rsidRPr="00DE1B01">
        <w:rPr>
          <w:color w:val="auto"/>
          <w:sz w:val="24"/>
          <w:szCs w:val="20"/>
        </w:rPr>
        <w:t xml:space="preserve">Able to replicate the </w:t>
      </w:r>
      <w:r w:rsidR="00EE1BC0">
        <w:rPr>
          <w:color w:val="auto"/>
          <w:sz w:val="24"/>
          <w:szCs w:val="20"/>
        </w:rPr>
        <w:t>Genisis</w:t>
      </w:r>
      <w:r w:rsidR="00976A00">
        <w:rPr>
          <w:color w:val="auto"/>
          <w:sz w:val="24"/>
          <w:szCs w:val="20"/>
        </w:rPr>
        <w:t>2</w:t>
      </w:r>
      <w:r w:rsidRPr="00DE1B01">
        <w:rPr>
          <w:color w:val="auto"/>
          <w:sz w:val="24"/>
          <w:szCs w:val="20"/>
        </w:rPr>
        <w:t xml:space="preserve"> data from the operational site to the disaster recovery site in near real time</w:t>
      </w:r>
    </w:p>
    <w:p w:rsidR="00DE1B01" w:rsidRPr="00DE1B01" w:rsidRDefault="00DE1B01" w:rsidP="00DE1B01">
      <w:pPr>
        <w:numPr>
          <w:ilvl w:val="0"/>
          <w:numId w:val="30"/>
        </w:numPr>
        <w:spacing w:before="120" w:after="120"/>
        <w:rPr>
          <w:color w:val="auto"/>
          <w:sz w:val="24"/>
          <w:szCs w:val="20"/>
        </w:rPr>
      </w:pPr>
      <w:r w:rsidRPr="00DE1B01">
        <w:rPr>
          <w:color w:val="auto"/>
          <w:sz w:val="24"/>
          <w:szCs w:val="20"/>
        </w:rPr>
        <w:t xml:space="preserve">Receive disaster recovery support at a minimum of “Essential </w:t>
      </w:r>
      <w:proofErr w:type="spellStart"/>
      <w:r w:rsidRPr="00DE1B01">
        <w:rPr>
          <w:color w:val="auto"/>
          <w:sz w:val="24"/>
          <w:szCs w:val="20"/>
        </w:rPr>
        <w:t>Support.”That</w:t>
      </w:r>
      <w:proofErr w:type="spellEnd"/>
      <w:r w:rsidRPr="00DE1B01">
        <w:rPr>
          <w:color w:val="auto"/>
          <w:sz w:val="24"/>
          <w:szCs w:val="20"/>
        </w:rPr>
        <w:t xml:space="preserve"> is, the capability of recovering applications within a 72-hour period with data being restored from the last backup</w:t>
      </w:r>
      <w:r w:rsidR="00147823">
        <w:rPr>
          <w:color w:val="auto"/>
          <w:sz w:val="24"/>
          <w:szCs w:val="20"/>
        </w:rPr>
        <w:t>.</w:t>
      </w:r>
    </w:p>
    <w:p w:rsidR="00DE1B01" w:rsidRPr="00DE1B01" w:rsidRDefault="00EE1BC0" w:rsidP="00AC61CD">
      <w:pPr>
        <w:spacing w:before="240" w:after="120"/>
        <w:rPr>
          <w:b/>
          <w:color w:val="auto"/>
          <w:sz w:val="24"/>
          <w:szCs w:val="20"/>
        </w:rPr>
      </w:pPr>
      <w:r>
        <w:rPr>
          <w:b/>
          <w:color w:val="auto"/>
          <w:sz w:val="24"/>
          <w:szCs w:val="20"/>
        </w:rPr>
        <w:t>Genisis</w:t>
      </w:r>
      <w:r w:rsidR="00976A00">
        <w:rPr>
          <w:b/>
          <w:color w:val="auto"/>
          <w:sz w:val="24"/>
          <w:szCs w:val="20"/>
        </w:rPr>
        <w:t>2</w:t>
      </w:r>
      <w:r w:rsidR="00DE1B01" w:rsidRPr="00DE1B01">
        <w:rPr>
          <w:b/>
          <w:color w:val="auto"/>
          <w:sz w:val="24"/>
          <w:szCs w:val="20"/>
        </w:rPr>
        <w:t xml:space="preserve"> Scientific Environment</w:t>
      </w:r>
    </w:p>
    <w:p w:rsidR="00DE1B01" w:rsidRPr="00DE1B01" w:rsidRDefault="00DE1B01" w:rsidP="00DE1B01">
      <w:pPr>
        <w:spacing w:before="120" w:after="120"/>
        <w:rPr>
          <w:color w:val="auto"/>
          <w:sz w:val="24"/>
          <w:szCs w:val="20"/>
        </w:rPr>
      </w:pPr>
      <w:r w:rsidRPr="00DE1B01">
        <w:rPr>
          <w:color w:val="auto"/>
          <w:sz w:val="24"/>
          <w:szCs w:val="20"/>
        </w:rPr>
        <w:t xml:space="preserve">Scientific data for </w:t>
      </w:r>
      <w:r w:rsidR="00EE1BC0">
        <w:rPr>
          <w:color w:val="auto"/>
          <w:sz w:val="24"/>
          <w:szCs w:val="20"/>
        </w:rPr>
        <w:t>Genisis</w:t>
      </w:r>
      <w:r w:rsidR="00976A00">
        <w:rPr>
          <w:color w:val="auto"/>
          <w:sz w:val="24"/>
          <w:szCs w:val="20"/>
        </w:rPr>
        <w:t>2</w:t>
      </w:r>
      <w:r w:rsidRPr="00DE1B01">
        <w:rPr>
          <w:color w:val="auto"/>
          <w:sz w:val="24"/>
          <w:szCs w:val="20"/>
        </w:rPr>
        <w:t xml:space="preserve"> needs tiered storage with a tiered storage and recovery management system that allows for critical data to be well protected and appropriately available.</w:t>
      </w:r>
    </w:p>
    <w:p w:rsidR="00DE1B01" w:rsidRPr="00DE1B01" w:rsidRDefault="00DE1B01" w:rsidP="00DE1B01">
      <w:pPr>
        <w:numPr>
          <w:ilvl w:val="0"/>
          <w:numId w:val="31"/>
        </w:numPr>
        <w:spacing w:before="120" w:after="120"/>
        <w:rPr>
          <w:color w:val="auto"/>
          <w:sz w:val="24"/>
          <w:szCs w:val="20"/>
        </w:rPr>
      </w:pPr>
      <w:r w:rsidRPr="00DE1B01">
        <w:rPr>
          <w:color w:val="auto"/>
          <w:sz w:val="24"/>
          <w:szCs w:val="20"/>
        </w:rPr>
        <w:t>Tier 1 Storage: Includes, mission critical data, replicated/mirrored with daily incremental backups for a minimum of 30 days. Monthly snapshots should be maintained for 1 year. DR plan to include at least two storage locations.</w:t>
      </w:r>
    </w:p>
    <w:p w:rsidR="00DE1B01" w:rsidRPr="00DE1B01" w:rsidRDefault="00DE1B01" w:rsidP="00DE1B01">
      <w:pPr>
        <w:numPr>
          <w:ilvl w:val="0"/>
          <w:numId w:val="31"/>
        </w:numPr>
        <w:spacing w:before="120" w:after="120"/>
        <w:rPr>
          <w:color w:val="auto"/>
          <w:sz w:val="24"/>
          <w:szCs w:val="20"/>
        </w:rPr>
      </w:pPr>
      <w:r w:rsidRPr="00DE1B01">
        <w:rPr>
          <w:color w:val="auto"/>
          <w:sz w:val="24"/>
          <w:szCs w:val="20"/>
        </w:rPr>
        <w:t xml:space="preserve">Tier 2 Storage: Includes analysis data designated for longer term storage on the HPC compute cluster </w:t>
      </w:r>
      <w:proofErr w:type="spellStart"/>
      <w:r w:rsidRPr="00DE1B01">
        <w:rPr>
          <w:color w:val="auto"/>
          <w:sz w:val="24"/>
          <w:szCs w:val="20"/>
        </w:rPr>
        <w:t>vLAN</w:t>
      </w:r>
      <w:proofErr w:type="spellEnd"/>
      <w:r w:rsidRPr="00DE1B01">
        <w:rPr>
          <w:color w:val="auto"/>
          <w:sz w:val="24"/>
          <w:szCs w:val="20"/>
        </w:rPr>
        <w:t xml:space="preserve">. Daily backup for a minimum of 7 days, with weekly snap shots maintained for 3 months. </w:t>
      </w:r>
      <w:r w:rsidR="00B71330">
        <w:rPr>
          <w:color w:val="auto"/>
          <w:sz w:val="24"/>
          <w:szCs w:val="20"/>
        </w:rPr>
        <w:t>Disaster recovery (</w:t>
      </w:r>
      <w:r w:rsidRPr="00DE1B01">
        <w:rPr>
          <w:color w:val="auto"/>
          <w:sz w:val="24"/>
          <w:szCs w:val="20"/>
        </w:rPr>
        <w:t>DR</w:t>
      </w:r>
      <w:r w:rsidR="00B71330">
        <w:rPr>
          <w:color w:val="auto"/>
          <w:sz w:val="24"/>
          <w:szCs w:val="20"/>
        </w:rPr>
        <w:t>)</w:t>
      </w:r>
      <w:r w:rsidRPr="00DE1B01">
        <w:rPr>
          <w:color w:val="auto"/>
          <w:sz w:val="24"/>
          <w:szCs w:val="20"/>
        </w:rPr>
        <w:t xml:space="preserve"> plan to include at least two storage locations.</w:t>
      </w:r>
    </w:p>
    <w:p w:rsidR="00DE1B01" w:rsidRPr="00DE1B01" w:rsidRDefault="00DE1B01" w:rsidP="00DE1B01">
      <w:pPr>
        <w:numPr>
          <w:ilvl w:val="0"/>
          <w:numId w:val="31"/>
        </w:numPr>
        <w:spacing w:before="120" w:after="120"/>
        <w:rPr>
          <w:color w:val="auto"/>
          <w:sz w:val="24"/>
          <w:szCs w:val="20"/>
        </w:rPr>
      </w:pPr>
      <w:r w:rsidRPr="00DE1B01">
        <w:rPr>
          <w:color w:val="auto"/>
          <w:sz w:val="24"/>
          <w:szCs w:val="20"/>
        </w:rPr>
        <w:t>Tier 3 Storage: Scratch space. No backups.</w:t>
      </w:r>
    </w:p>
    <w:p w:rsidR="00DE1B01" w:rsidRPr="00DE1B01" w:rsidRDefault="00DE1B01" w:rsidP="00DE1B01">
      <w:pPr>
        <w:numPr>
          <w:ilvl w:val="0"/>
          <w:numId w:val="31"/>
        </w:numPr>
        <w:spacing w:before="120" w:after="120"/>
        <w:rPr>
          <w:color w:val="auto"/>
          <w:sz w:val="24"/>
          <w:szCs w:val="20"/>
        </w:rPr>
      </w:pPr>
      <w:r w:rsidRPr="00DE1B01">
        <w:rPr>
          <w:color w:val="auto"/>
          <w:sz w:val="24"/>
          <w:szCs w:val="20"/>
        </w:rPr>
        <w:t>Tier 4 Storage: Archival of designated raw data for very infrequent access.</w:t>
      </w:r>
    </w:p>
    <w:p w:rsidR="00DE1B01" w:rsidRPr="00CD40E2" w:rsidRDefault="00DE1B01" w:rsidP="00CD40E2">
      <w:pPr>
        <w:keepNext/>
        <w:keepLines/>
        <w:spacing w:before="240" w:after="120"/>
        <w:ind w:left="360"/>
        <w:jc w:val="center"/>
        <w:rPr>
          <w:rFonts w:ascii="Arial" w:hAnsi="Arial" w:cs="Arial"/>
          <w:b/>
          <w:bCs/>
          <w:szCs w:val="22"/>
        </w:rPr>
      </w:pPr>
      <w:r w:rsidRPr="00CD40E2">
        <w:rPr>
          <w:rFonts w:ascii="Arial" w:hAnsi="Arial" w:cs="Arial"/>
          <w:b/>
          <w:bCs/>
          <w:szCs w:val="22"/>
        </w:rPr>
        <w:lastRenderedPageBreak/>
        <w:t xml:space="preserve">Table </w:t>
      </w:r>
      <w:r w:rsidRPr="00CD40E2">
        <w:rPr>
          <w:rFonts w:ascii="Arial" w:hAnsi="Arial" w:cs="Arial"/>
          <w:b/>
          <w:bCs/>
          <w:szCs w:val="22"/>
        </w:rPr>
        <w:fldChar w:fldCharType="begin"/>
      </w:r>
      <w:r w:rsidRPr="00CD40E2">
        <w:rPr>
          <w:rFonts w:ascii="Arial" w:hAnsi="Arial" w:cs="Arial"/>
          <w:b/>
          <w:bCs/>
          <w:szCs w:val="22"/>
        </w:rPr>
        <w:instrText xml:space="preserve"> SEQ Table \* ARABIC </w:instrText>
      </w:r>
      <w:r w:rsidRPr="00CD40E2">
        <w:rPr>
          <w:rFonts w:ascii="Arial" w:hAnsi="Arial" w:cs="Arial"/>
          <w:b/>
          <w:bCs/>
          <w:szCs w:val="22"/>
        </w:rPr>
        <w:fldChar w:fldCharType="separate"/>
      </w:r>
      <w:r w:rsidRPr="00CD40E2">
        <w:rPr>
          <w:rFonts w:ascii="Arial" w:hAnsi="Arial" w:cs="Arial"/>
          <w:b/>
          <w:bCs/>
          <w:noProof/>
          <w:szCs w:val="22"/>
        </w:rPr>
        <w:t>1</w:t>
      </w:r>
      <w:r w:rsidRPr="00CD40E2">
        <w:rPr>
          <w:rFonts w:ascii="Arial" w:hAnsi="Arial" w:cs="Arial"/>
          <w:b/>
          <w:bCs/>
          <w:noProof/>
          <w:szCs w:val="22"/>
        </w:rPr>
        <w:fldChar w:fldCharType="end"/>
      </w:r>
      <w:r w:rsidRPr="00CD40E2">
        <w:rPr>
          <w:rFonts w:ascii="Arial" w:hAnsi="Arial" w:cs="Arial"/>
          <w:b/>
          <w:bCs/>
          <w:szCs w:val="22"/>
        </w:rPr>
        <w:t>: Physical Support Requirements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Physical Support Requirements"/>
        <w:tblDescription w:val="This table lists support system components and a description of each."/>
      </w:tblPr>
      <w:tblGrid>
        <w:gridCol w:w="2193"/>
        <w:gridCol w:w="7383"/>
      </w:tblGrid>
      <w:tr w:rsidR="00DE1B01" w:rsidRPr="00DE1B01" w:rsidTr="00C84BD0">
        <w:trPr>
          <w:cantSplit/>
          <w:tblHeader/>
        </w:trPr>
        <w:tc>
          <w:tcPr>
            <w:tcW w:w="1145" w:type="pct"/>
            <w:shd w:val="clear" w:color="auto" w:fill="F2F2F2" w:themeFill="background1" w:themeFillShade="F2"/>
          </w:tcPr>
          <w:p w:rsidR="00DE1B01" w:rsidRPr="00DE1B01" w:rsidRDefault="00DE1B01" w:rsidP="00DE1B01">
            <w:pPr>
              <w:spacing w:before="60" w:after="60"/>
              <w:rPr>
                <w:rFonts w:ascii="Arial" w:hAnsi="Arial" w:cs="Arial"/>
                <w:b/>
                <w:color w:val="auto"/>
                <w:szCs w:val="22"/>
              </w:rPr>
            </w:pPr>
            <w:bookmarkStart w:id="6" w:name="ColumnTitle_02"/>
            <w:bookmarkEnd w:id="6"/>
            <w:r w:rsidRPr="00DE1B01">
              <w:rPr>
                <w:rFonts w:ascii="Arial" w:hAnsi="Arial" w:cs="Arial"/>
                <w:b/>
                <w:color w:val="auto"/>
                <w:szCs w:val="22"/>
              </w:rPr>
              <w:t>System Component Query</w:t>
            </w:r>
          </w:p>
        </w:tc>
        <w:tc>
          <w:tcPr>
            <w:tcW w:w="3855" w:type="pct"/>
            <w:shd w:val="clear" w:color="auto" w:fill="F2F2F2" w:themeFill="background1" w:themeFillShade="F2"/>
          </w:tcPr>
          <w:p w:rsidR="00DE1B01" w:rsidRPr="00DE1B01" w:rsidRDefault="00DE1B01" w:rsidP="00DE1B01">
            <w:pPr>
              <w:spacing w:before="60" w:after="60"/>
              <w:rPr>
                <w:rFonts w:ascii="Arial" w:hAnsi="Arial" w:cs="Arial"/>
                <w:b/>
                <w:color w:val="auto"/>
                <w:szCs w:val="22"/>
              </w:rPr>
            </w:pPr>
            <w:r w:rsidRPr="00DE1B01">
              <w:rPr>
                <w:rFonts w:ascii="Arial" w:hAnsi="Arial" w:cs="Arial"/>
                <w:b/>
                <w:color w:val="auto"/>
                <w:szCs w:val="22"/>
              </w:rPr>
              <w:t>Description</w:t>
            </w:r>
          </w:p>
        </w:tc>
      </w:tr>
      <w:tr w:rsidR="00DE1B01" w:rsidRPr="00DE1B01" w:rsidTr="00945B0C">
        <w:trPr>
          <w:cantSplit/>
        </w:trPr>
        <w:tc>
          <w:tcPr>
            <w:tcW w:w="1145" w:type="pct"/>
          </w:tcPr>
          <w:p w:rsidR="00DE1B01" w:rsidRPr="00DE1B01" w:rsidRDefault="00DE1B01" w:rsidP="00DE1B01">
            <w:pPr>
              <w:spacing w:before="60" w:after="60"/>
              <w:rPr>
                <w:rFonts w:ascii="Arial" w:hAnsi="Arial" w:cs="Arial"/>
                <w:b/>
                <w:color w:val="auto"/>
                <w:szCs w:val="22"/>
              </w:rPr>
            </w:pPr>
            <w:r w:rsidRPr="00DE1B01">
              <w:rPr>
                <w:rFonts w:ascii="Arial" w:hAnsi="Arial" w:cs="Arial"/>
                <w:b/>
                <w:color w:val="auto"/>
                <w:szCs w:val="22"/>
              </w:rPr>
              <w:t>Racks</w:t>
            </w:r>
          </w:p>
        </w:tc>
        <w:tc>
          <w:tcPr>
            <w:tcW w:w="3855" w:type="pct"/>
          </w:tcPr>
          <w:p w:rsidR="00DE1B01" w:rsidRPr="00CD40E2" w:rsidRDefault="00DE1B01" w:rsidP="00DE1B01">
            <w:pPr>
              <w:spacing w:before="60" w:after="60"/>
              <w:rPr>
                <w:rFonts w:ascii="Arial" w:hAnsi="Arial" w:cs="Arial"/>
                <w:szCs w:val="22"/>
              </w:rPr>
            </w:pPr>
            <w:r w:rsidRPr="00CD40E2">
              <w:rPr>
                <w:rFonts w:ascii="Arial" w:hAnsi="Arial" w:cs="Arial"/>
                <w:szCs w:val="22"/>
              </w:rPr>
              <w:t>8 Dell 4220 42U Rack</w:t>
            </w:r>
          </w:p>
          <w:p w:rsidR="00DE1B01" w:rsidRPr="00CD40E2" w:rsidRDefault="00DE1B01" w:rsidP="00DE1B01">
            <w:pPr>
              <w:spacing w:before="60" w:after="60"/>
              <w:rPr>
                <w:rFonts w:ascii="Arial" w:hAnsi="Arial" w:cs="Arial"/>
                <w:szCs w:val="22"/>
              </w:rPr>
            </w:pPr>
            <w:r w:rsidRPr="00CD40E2">
              <w:rPr>
                <w:rFonts w:ascii="Arial" w:hAnsi="Arial" w:cs="Arial"/>
                <w:szCs w:val="22"/>
              </w:rPr>
              <w:t>8 16 Port Keyboard/Video/Mouse Digital Switch, 2161DS/2 PowerEdge</w:t>
            </w:r>
          </w:p>
          <w:p w:rsidR="00DE1B01" w:rsidRPr="00CD40E2" w:rsidRDefault="00DE1B01" w:rsidP="00DE1B01">
            <w:pPr>
              <w:spacing w:before="60" w:after="60"/>
              <w:rPr>
                <w:rFonts w:ascii="Arial" w:hAnsi="Arial" w:cs="Arial"/>
                <w:szCs w:val="22"/>
              </w:rPr>
            </w:pPr>
            <w:r w:rsidRPr="00CD40E2">
              <w:rPr>
                <w:rFonts w:ascii="Arial" w:hAnsi="Arial" w:cs="Arial"/>
                <w:szCs w:val="22"/>
              </w:rPr>
              <w:t>6 SMART UPS 20KVA RT RM 208V</w:t>
            </w:r>
          </w:p>
          <w:p w:rsidR="00DE1B01" w:rsidRPr="00CD40E2" w:rsidRDefault="00DE1B01" w:rsidP="00DE1B01">
            <w:pPr>
              <w:spacing w:before="60" w:after="60"/>
              <w:rPr>
                <w:rFonts w:ascii="Arial" w:hAnsi="Arial" w:cs="Arial"/>
                <w:color w:val="0000FF"/>
                <w:szCs w:val="22"/>
              </w:rPr>
            </w:pPr>
            <w:r w:rsidRPr="00CD40E2">
              <w:rPr>
                <w:rFonts w:ascii="Arial" w:hAnsi="Arial" w:cs="Arial"/>
                <w:szCs w:val="22"/>
              </w:rPr>
              <w:t>6 APC SMART-UPS 3000VA USB</w:t>
            </w:r>
          </w:p>
        </w:tc>
      </w:tr>
      <w:tr w:rsidR="00DE1B01" w:rsidRPr="00DE1B01" w:rsidTr="00151E8F">
        <w:tc>
          <w:tcPr>
            <w:tcW w:w="1145" w:type="pct"/>
          </w:tcPr>
          <w:p w:rsidR="00DE1B01" w:rsidRPr="00DE1B01" w:rsidRDefault="00DE1B01" w:rsidP="00DE1B01">
            <w:pPr>
              <w:spacing w:before="60" w:after="60"/>
              <w:rPr>
                <w:rFonts w:ascii="Arial" w:hAnsi="Arial" w:cs="Arial"/>
                <w:b/>
                <w:color w:val="auto"/>
                <w:szCs w:val="22"/>
              </w:rPr>
            </w:pPr>
            <w:r w:rsidRPr="00DE1B01">
              <w:rPr>
                <w:rFonts w:ascii="Arial" w:hAnsi="Arial" w:cs="Arial"/>
                <w:b/>
                <w:color w:val="auto"/>
                <w:szCs w:val="22"/>
              </w:rPr>
              <w:t>Servers</w:t>
            </w:r>
          </w:p>
        </w:tc>
        <w:tc>
          <w:tcPr>
            <w:tcW w:w="3855" w:type="pct"/>
          </w:tcPr>
          <w:p w:rsidR="00DE1B01" w:rsidRPr="00CD40E2" w:rsidRDefault="00DE1B01" w:rsidP="00DE1B01">
            <w:pPr>
              <w:spacing w:before="60" w:after="60"/>
              <w:rPr>
                <w:rFonts w:ascii="Arial" w:hAnsi="Arial" w:cs="Arial"/>
                <w:szCs w:val="22"/>
              </w:rPr>
            </w:pPr>
            <w:r w:rsidRPr="00CD40E2">
              <w:rPr>
                <w:rFonts w:ascii="Arial" w:hAnsi="Arial" w:cs="Arial"/>
                <w:szCs w:val="22"/>
              </w:rPr>
              <w:t xml:space="preserve">188x Dell PowerEdge M610 Blade Server; Specs: 96GB Memory (12x8GB),(2x) Intel Xeon X5650, 2.66Ghz, 12M Cache; 146GB 15K RPM Serial-Attach SCSI 6Gbps 2.5in (147 in Pitt, 41 in JP) </w:t>
            </w:r>
          </w:p>
          <w:p w:rsidR="00DE1B01" w:rsidRPr="00CD40E2" w:rsidRDefault="00DE1B01" w:rsidP="00DE1B01">
            <w:pPr>
              <w:spacing w:before="60" w:after="60"/>
              <w:rPr>
                <w:rFonts w:ascii="Arial" w:hAnsi="Arial" w:cs="Arial"/>
                <w:szCs w:val="22"/>
              </w:rPr>
            </w:pPr>
            <w:r w:rsidRPr="00CD40E2">
              <w:rPr>
                <w:rFonts w:ascii="Arial" w:hAnsi="Arial" w:cs="Arial"/>
                <w:szCs w:val="22"/>
              </w:rPr>
              <w:t xml:space="preserve">11 Blade Chassis M1000e (9 in Pitt, 2 in Boston) </w:t>
            </w:r>
          </w:p>
          <w:p w:rsidR="00DE1B01" w:rsidRPr="00CD40E2" w:rsidRDefault="00DE1B01" w:rsidP="00DE1B01">
            <w:pPr>
              <w:spacing w:before="60" w:after="60"/>
              <w:rPr>
                <w:rFonts w:ascii="Arial" w:hAnsi="Arial" w:cs="Arial"/>
                <w:szCs w:val="22"/>
              </w:rPr>
            </w:pPr>
            <w:r w:rsidRPr="00CD40E2">
              <w:rPr>
                <w:rFonts w:ascii="Arial" w:hAnsi="Arial" w:cs="Arial"/>
                <w:szCs w:val="22"/>
              </w:rPr>
              <w:t xml:space="preserve">11 Blade Chassis </w:t>
            </w:r>
          </w:p>
          <w:p w:rsidR="00DE1B01" w:rsidRPr="00CD40E2" w:rsidRDefault="00DE1B01" w:rsidP="00DE1B01">
            <w:pPr>
              <w:spacing w:before="60" w:after="60"/>
              <w:rPr>
                <w:rFonts w:ascii="Arial" w:hAnsi="Arial" w:cs="Arial"/>
                <w:szCs w:val="22"/>
              </w:rPr>
            </w:pPr>
            <w:r w:rsidRPr="00CD40E2">
              <w:rPr>
                <w:rFonts w:ascii="Arial" w:hAnsi="Arial" w:cs="Arial"/>
                <w:szCs w:val="22"/>
              </w:rPr>
              <w:t>EMC CX4 -240</w:t>
            </w:r>
          </w:p>
          <w:p w:rsidR="00DE1B01" w:rsidRPr="00CD40E2" w:rsidRDefault="00FE6C1B" w:rsidP="00DE1B01">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t>DNS</w:t>
            </w:r>
          </w:p>
          <w:p w:rsidR="00DE1B01" w:rsidRPr="00CD40E2" w:rsidRDefault="00FE6C1B" w:rsidP="00DE1B01">
            <w:pPr>
              <w:spacing w:before="60" w:after="60"/>
              <w:rPr>
                <w:rFonts w:ascii="Arial" w:hAnsi="Arial" w:cs="Arial"/>
                <w:szCs w:val="22"/>
              </w:rPr>
            </w:pPr>
            <w:r>
              <w:rPr>
                <w:rFonts w:ascii="Arial" w:hAnsi="Arial" w:cs="Arial"/>
                <w:szCs w:val="22"/>
              </w:rPr>
              <w:t>DNS</w:t>
            </w:r>
          </w:p>
          <w:p w:rsidR="00DE1B01" w:rsidRPr="00CD40E2" w:rsidRDefault="00DE1B01" w:rsidP="00DE1B01">
            <w:pPr>
              <w:spacing w:before="60" w:after="60"/>
              <w:rPr>
                <w:rFonts w:ascii="Arial" w:hAnsi="Arial" w:cs="Arial"/>
                <w:szCs w:val="22"/>
              </w:rPr>
            </w:pPr>
            <w:r w:rsidRPr="00CD40E2">
              <w:rPr>
                <w:rFonts w:ascii="Arial" w:hAnsi="Arial" w:cs="Arial"/>
                <w:szCs w:val="22"/>
              </w:rPr>
              <w:t>HPC COMPUTE NODES (QTY 16)</w:t>
            </w:r>
          </w:p>
          <w:p w:rsidR="00FE6C1B" w:rsidRPr="00CD40E2" w:rsidRDefault="00FE6C1B" w:rsidP="00FE6C1B">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t>DNS</w:t>
            </w:r>
          </w:p>
          <w:p w:rsidR="00DE1B01" w:rsidRPr="00CD40E2" w:rsidRDefault="00FE6C1B" w:rsidP="00DE1B01">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t>DNS</w:t>
            </w:r>
          </w:p>
          <w:p w:rsidR="00DE1B01" w:rsidRPr="00CD40E2" w:rsidRDefault="00FE6C1B" w:rsidP="00DE1B01">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t>DNS</w:t>
            </w:r>
          </w:p>
          <w:p w:rsidR="00DE1B01" w:rsidRPr="00CD40E2" w:rsidRDefault="00FE6C1B" w:rsidP="00DE1B01">
            <w:pPr>
              <w:spacing w:before="60" w:after="60"/>
              <w:rPr>
                <w:rFonts w:ascii="Arial" w:hAnsi="Arial" w:cs="Arial"/>
                <w:szCs w:val="22"/>
              </w:rPr>
            </w:pPr>
            <w:r>
              <w:rPr>
                <w:rFonts w:ascii="Arial" w:hAnsi="Arial" w:cs="Arial"/>
                <w:szCs w:val="22"/>
              </w:rPr>
              <w:t>DNS</w:t>
            </w:r>
          </w:p>
          <w:p w:rsidR="00DE1B01" w:rsidRPr="00CD40E2" w:rsidRDefault="00FE6C1B" w:rsidP="00DE1B01">
            <w:pPr>
              <w:spacing w:before="60" w:after="60"/>
              <w:rPr>
                <w:rFonts w:ascii="Arial" w:hAnsi="Arial" w:cs="Arial"/>
                <w:szCs w:val="22"/>
              </w:rPr>
            </w:pPr>
            <w:r>
              <w:rPr>
                <w:rFonts w:ascii="Arial" w:hAnsi="Arial" w:cs="Arial"/>
                <w:szCs w:val="22"/>
              </w:rPr>
              <w:t>DNS</w:t>
            </w:r>
          </w:p>
          <w:p w:rsidR="00DE1B01" w:rsidRPr="00CD40E2" w:rsidRDefault="00FE6C1B" w:rsidP="00DE1B01">
            <w:pPr>
              <w:spacing w:before="60" w:after="60"/>
              <w:rPr>
                <w:rFonts w:ascii="Arial" w:hAnsi="Arial" w:cs="Arial"/>
                <w:szCs w:val="22"/>
              </w:rPr>
            </w:pPr>
            <w:r>
              <w:rPr>
                <w:rFonts w:ascii="Arial" w:hAnsi="Arial" w:cs="Arial"/>
                <w:szCs w:val="22"/>
              </w:rPr>
              <w:t>DNS</w:t>
            </w:r>
          </w:p>
          <w:p w:rsidR="00FE6C1B" w:rsidRPr="00CD40E2" w:rsidRDefault="00FE6C1B" w:rsidP="00FE6C1B">
            <w:pPr>
              <w:spacing w:before="60" w:after="60"/>
              <w:rPr>
                <w:rFonts w:ascii="Arial" w:hAnsi="Arial" w:cs="Arial"/>
                <w:szCs w:val="22"/>
              </w:rPr>
            </w:pPr>
            <w:r>
              <w:rPr>
                <w:rFonts w:ascii="Arial" w:hAnsi="Arial" w:cs="Arial"/>
                <w:szCs w:val="22"/>
              </w:rPr>
              <w:lastRenderedPageBreak/>
              <w:t>DNS</w:t>
            </w:r>
          </w:p>
          <w:p w:rsidR="00DE1B01" w:rsidRPr="00CD40E2" w:rsidRDefault="0001731E" w:rsidP="00DE1B01">
            <w:pPr>
              <w:spacing w:before="60" w:after="60"/>
              <w:rPr>
                <w:rFonts w:ascii="Arial" w:hAnsi="Arial" w:cs="Arial"/>
                <w:szCs w:val="22"/>
              </w:rPr>
            </w:pPr>
            <w:r>
              <w:rPr>
                <w:rFonts w:ascii="Arial" w:hAnsi="Arial" w:cs="Arial"/>
                <w:szCs w:val="22"/>
              </w:rPr>
              <w:t>DNS</w:t>
            </w:r>
          </w:p>
          <w:p w:rsidR="00DE1B01" w:rsidRPr="00CD40E2" w:rsidRDefault="0001731E" w:rsidP="00DE1B01">
            <w:pPr>
              <w:spacing w:before="60" w:after="60"/>
              <w:rPr>
                <w:rFonts w:ascii="Arial" w:hAnsi="Arial" w:cs="Arial"/>
                <w:szCs w:val="22"/>
              </w:rPr>
            </w:pPr>
            <w:r>
              <w:rPr>
                <w:rFonts w:ascii="Arial" w:hAnsi="Arial" w:cs="Arial"/>
                <w:szCs w:val="22"/>
              </w:rPr>
              <w:t>DNS</w:t>
            </w:r>
          </w:p>
          <w:p w:rsidR="00DE1B01" w:rsidRPr="00CD40E2" w:rsidRDefault="0001731E" w:rsidP="00DE1B01">
            <w:pPr>
              <w:spacing w:before="60" w:after="60"/>
              <w:rPr>
                <w:rFonts w:ascii="Arial" w:hAnsi="Arial" w:cs="Arial"/>
                <w:szCs w:val="22"/>
              </w:rPr>
            </w:pPr>
            <w:r>
              <w:rPr>
                <w:rFonts w:ascii="Arial" w:hAnsi="Arial" w:cs="Arial"/>
                <w:szCs w:val="22"/>
              </w:rPr>
              <w:t>DNS</w:t>
            </w:r>
          </w:p>
          <w:p w:rsidR="00DE1B01" w:rsidRPr="00CD40E2" w:rsidRDefault="0001731E" w:rsidP="00DE1B01">
            <w:pPr>
              <w:spacing w:before="60" w:after="60"/>
              <w:rPr>
                <w:rFonts w:ascii="Arial" w:hAnsi="Arial" w:cs="Arial"/>
                <w:szCs w:val="22"/>
              </w:rPr>
            </w:pPr>
            <w:r>
              <w:rPr>
                <w:rFonts w:ascii="Arial" w:hAnsi="Arial" w:cs="Arial"/>
                <w:szCs w:val="22"/>
              </w:rPr>
              <w:t>DNS</w:t>
            </w:r>
          </w:p>
          <w:p w:rsidR="00DE1B01" w:rsidRPr="00CD40E2" w:rsidRDefault="0001731E" w:rsidP="00DE1B01">
            <w:pPr>
              <w:spacing w:before="60" w:after="60"/>
              <w:rPr>
                <w:rFonts w:ascii="Arial" w:hAnsi="Arial" w:cs="Arial"/>
                <w:szCs w:val="22"/>
              </w:rPr>
            </w:pPr>
            <w:r>
              <w:rPr>
                <w:rFonts w:ascii="Arial" w:hAnsi="Arial" w:cs="Arial"/>
                <w:szCs w:val="22"/>
              </w:rPr>
              <w:t>DNS</w:t>
            </w:r>
          </w:p>
          <w:p w:rsidR="00DE1B01" w:rsidRPr="00CD40E2" w:rsidRDefault="0001731E" w:rsidP="00DE1B01">
            <w:pPr>
              <w:spacing w:before="60" w:after="60"/>
              <w:rPr>
                <w:rFonts w:ascii="Arial" w:hAnsi="Arial" w:cs="Arial"/>
                <w:szCs w:val="22"/>
              </w:rPr>
            </w:pPr>
            <w:r>
              <w:rPr>
                <w:rFonts w:ascii="Arial" w:hAnsi="Arial" w:cs="Arial"/>
                <w:szCs w:val="22"/>
              </w:rPr>
              <w:t>DNS</w:t>
            </w:r>
          </w:p>
          <w:p w:rsidR="00DE1B01" w:rsidRPr="00CD40E2" w:rsidRDefault="0001731E" w:rsidP="00DE1B01">
            <w:pPr>
              <w:spacing w:before="60" w:after="60"/>
              <w:rPr>
                <w:rFonts w:ascii="Arial" w:hAnsi="Arial" w:cs="Arial"/>
                <w:szCs w:val="22"/>
              </w:rPr>
            </w:pPr>
            <w:r>
              <w:rPr>
                <w:rFonts w:ascii="Arial" w:hAnsi="Arial" w:cs="Arial"/>
                <w:szCs w:val="22"/>
              </w:rPr>
              <w:t>DNS</w:t>
            </w:r>
          </w:p>
          <w:p w:rsidR="00DE1B01" w:rsidRPr="00CD40E2" w:rsidRDefault="00DE1B01" w:rsidP="007017C3">
            <w:pPr>
              <w:spacing w:before="120" w:after="60"/>
              <w:rPr>
                <w:rFonts w:ascii="Arial" w:hAnsi="Arial" w:cs="Arial"/>
                <w:szCs w:val="22"/>
              </w:rPr>
            </w:pPr>
            <w:r w:rsidRPr="00CD40E2">
              <w:rPr>
                <w:rFonts w:ascii="Arial" w:hAnsi="Arial" w:cs="Arial"/>
                <w:szCs w:val="22"/>
              </w:rPr>
              <w:t xml:space="preserve">1x Dell PowerEdge R510; specs: 16GB Memory (8x2GB), 1333MHz Dual Ranked RDIMMs, 2x Intel XeonE5620 2.4Ghz, 12M </w:t>
            </w:r>
            <w:proofErr w:type="spellStart"/>
            <w:r w:rsidRPr="00CD40E2">
              <w:rPr>
                <w:rFonts w:ascii="Arial" w:hAnsi="Arial" w:cs="Arial"/>
                <w:szCs w:val="22"/>
              </w:rPr>
              <w:t>Cache,Turbo</w:t>
            </w:r>
            <w:proofErr w:type="spellEnd"/>
            <w:r w:rsidRPr="00CD40E2">
              <w:rPr>
                <w:rFonts w:ascii="Arial" w:hAnsi="Arial" w:cs="Arial"/>
                <w:szCs w:val="22"/>
              </w:rPr>
              <w:t>, PERCH200i Controller, and PERC H200 Integrated RAID (server is MIA)</w:t>
            </w:r>
          </w:p>
          <w:p w:rsidR="00DE1B01" w:rsidRPr="00CD40E2" w:rsidRDefault="00DE1B01" w:rsidP="00DE1B01">
            <w:pPr>
              <w:spacing w:before="60" w:after="60"/>
              <w:rPr>
                <w:rFonts w:ascii="Arial" w:hAnsi="Arial" w:cs="Arial"/>
                <w:i/>
                <w:color w:val="0000FF"/>
                <w:szCs w:val="22"/>
              </w:rPr>
            </w:pPr>
            <w:r w:rsidRPr="00CD40E2">
              <w:rPr>
                <w:rFonts w:ascii="Arial" w:hAnsi="Arial" w:cs="Arial"/>
                <w:szCs w:val="22"/>
              </w:rPr>
              <w:t xml:space="preserve">3x Dell R810 Chassis for up to Six 2.5-Inch Hard Drives; specs: 256GB Memory (32x8GB), 2x Intel Xeon E7540 2.00GHz, 146GB 15K RPM Serial-Attach SCSI 6Gbps 2.5in, 18M cache, PERC H700 Integrated RAID Controller, 512MB Cache, </w:t>
            </w:r>
            <w:proofErr w:type="spellStart"/>
            <w:r w:rsidRPr="00CD40E2">
              <w:rPr>
                <w:rFonts w:ascii="Arial" w:hAnsi="Arial" w:cs="Arial"/>
                <w:szCs w:val="22"/>
              </w:rPr>
              <w:t>Qlogic</w:t>
            </w:r>
            <w:proofErr w:type="spellEnd"/>
            <w:r w:rsidRPr="00CD40E2">
              <w:rPr>
                <w:rFonts w:ascii="Arial" w:hAnsi="Arial" w:cs="Arial"/>
                <w:szCs w:val="22"/>
              </w:rPr>
              <w:t xml:space="preserve"> 2560 Single Channel 8Gb Optical Fiber Channel HBA (3x in Boston)</w:t>
            </w:r>
          </w:p>
        </w:tc>
      </w:tr>
      <w:tr w:rsidR="00DE1B01" w:rsidRPr="00DE1B01" w:rsidTr="00945B0C">
        <w:trPr>
          <w:cantSplit/>
        </w:trPr>
        <w:tc>
          <w:tcPr>
            <w:tcW w:w="1145" w:type="pct"/>
            <w:tcBorders>
              <w:top w:val="single" w:sz="4" w:space="0" w:color="000000"/>
              <w:left w:val="single" w:sz="4" w:space="0" w:color="000000"/>
              <w:bottom w:val="single" w:sz="4" w:space="0" w:color="000000"/>
              <w:right w:val="single" w:sz="4" w:space="0" w:color="000000"/>
            </w:tcBorders>
          </w:tcPr>
          <w:p w:rsidR="00DE1B01" w:rsidRPr="00DE1B01" w:rsidRDefault="00DE1B01" w:rsidP="00DE1B01">
            <w:pPr>
              <w:spacing w:before="60" w:after="60"/>
              <w:rPr>
                <w:rFonts w:ascii="Arial" w:hAnsi="Arial" w:cs="Arial"/>
                <w:b/>
                <w:color w:val="auto"/>
                <w:szCs w:val="22"/>
              </w:rPr>
            </w:pPr>
            <w:r w:rsidRPr="00DE1B01">
              <w:rPr>
                <w:rFonts w:ascii="Arial" w:hAnsi="Arial" w:cs="Arial"/>
                <w:b/>
                <w:color w:val="auto"/>
                <w:szCs w:val="22"/>
              </w:rPr>
              <w:lastRenderedPageBreak/>
              <w:t>Storage</w:t>
            </w:r>
          </w:p>
        </w:tc>
        <w:tc>
          <w:tcPr>
            <w:tcW w:w="3855" w:type="pct"/>
            <w:tcBorders>
              <w:top w:val="single" w:sz="4" w:space="0" w:color="000000"/>
              <w:left w:val="single" w:sz="4" w:space="0" w:color="000000"/>
              <w:bottom w:val="single" w:sz="4" w:space="0" w:color="000000"/>
              <w:right w:val="single" w:sz="4" w:space="0" w:color="000000"/>
            </w:tcBorders>
          </w:tcPr>
          <w:p w:rsidR="00DE1B01" w:rsidRPr="00CD40E2" w:rsidRDefault="00DE1B01" w:rsidP="00DE1B01">
            <w:pPr>
              <w:spacing w:before="60" w:after="60"/>
              <w:rPr>
                <w:rFonts w:ascii="Arial" w:hAnsi="Arial" w:cs="Arial"/>
                <w:szCs w:val="22"/>
              </w:rPr>
            </w:pPr>
            <w:r w:rsidRPr="00CD40E2">
              <w:rPr>
                <w:rFonts w:ascii="Arial" w:hAnsi="Arial" w:cs="Arial"/>
                <w:szCs w:val="22"/>
              </w:rPr>
              <w:t xml:space="preserve">1x Dell/EMC CX4-240c FC8, 10Gb iSCSI Storage Processor Enclosure;1x E-FC4 Disk Array Enclosure; E-Five 600GB 15K RPM </w:t>
            </w:r>
            <w:proofErr w:type="spellStart"/>
            <w:r w:rsidRPr="00CD40E2">
              <w:rPr>
                <w:rFonts w:ascii="Arial" w:hAnsi="Arial" w:cs="Arial"/>
                <w:szCs w:val="22"/>
              </w:rPr>
              <w:t>Fibre</w:t>
            </w:r>
            <w:proofErr w:type="spellEnd"/>
            <w:r w:rsidRPr="00CD40E2">
              <w:rPr>
                <w:rFonts w:ascii="Arial" w:hAnsi="Arial" w:cs="Arial"/>
                <w:szCs w:val="22"/>
              </w:rPr>
              <w:t xml:space="preserve"> Channel 4Gbps 3.5-in; 10x E-600GB 15K RPM </w:t>
            </w:r>
            <w:proofErr w:type="spellStart"/>
            <w:r w:rsidRPr="00CD40E2">
              <w:rPr>
                <w:rFonts w:ascii="Arial" w:hAnsi="Arial" w:cs="Arial"/>
                <w:szCs w:val="22"/>
              </w:rPr>
              <w:t>Fibre</w:t>
            </w:r>
            <w:proofErr w:type="spellEnd"/>
            <w:r w:rsidRPr="00CD40E2">
              <w:rPr>
                <w:rFonts w:ascii="Arial" w:hAnsi="Arial" w:cs="Arial"/>
                <w:szCs w:val="22"/>
              </w:rPr>
              <w:t xml:space="preserve"> Channel 4Gbps 3.5-in </w:t>
            </w:r>
            <w:proofErr w:type="spellStart"/>
            <w:r w:rsidRPr="00CD40E2">
              <w:rPr>
                <w:rFonts w:ascii="Arial" w:hAnsi="Arial" w:cs="Arial"/>
                <w:szCs w:val="22"/>
              </w:rPr>
              <w:t>HotPlug</w:t>
            </w:r>
            <w:proofErr w:type="spellEnd"/>
            <w:r w:rsidRPr="00CD40E2">
              <w:rPr>
                <w:rFonts w:ascii="Arial" w:hAnsi="Arial" w:cs="Arial"/>
                <w:szCs w:val="22"/>
              </w:rPr>
              <w:t xml:space="preserve"> Hard Drive; 5x E-FC4 Disk Array Enclosure forCX4 Arrays (224-0288); 15x E-600GB 15K RPM </w:t>
            </w:r>
            <w:proofErr w:type="spellStart"/>
            <w:r w:rsidRPr="00CD40E2">
              <w:rPr>
                <w:rFonts w:ascii="Arial" w:hAnsi="Arial" w:cs="Arial"/>
                <w:szCs w:val="22"/>
              </w:rPr>
              <w:t>Fibre</w:t>
            </w:r>
            <w:proofErr w:type="spellEnd"/>
            <w:r w:rsidRPr="00CD40E2">
              <w:rPr>
                <w:rFonts w:ascii="Arial" w:hAnsi="Arial" w:cs="Arial"/>
                <w:szCs w:val="22"/>
              </w:rPr>
              <w:t xml:space="preserve"> Channel 4Gbps 3.5-in; 13x 2 TB SATA Barracuda LP Internal; Hard Drive </w:t>
            </w:r>
            <w:proofErr w:type="spellStart"/>
            <w:r w:rsidRPr="00CD40E2">
              <w:rPr>
                <w:rFonts w:ascii="Arial" w:hAnsi="Arial" w:cs="Arial"/>
                <w:szCs w:val="22"/>
              </w:rPr>
              <w:t>qty</w:t>
            </w:r>
            <w:proofErr w:type="spellEnd"/>
            <w:r w:rsidRPr="00CD40E2">
              <w:rPr>
                <w:rFonts w:ascii="Arial" w:hAnsi="Arial" w:cs="Arial"/>
                <w:szCs w:val="22"/>
              </w:rPr>
              <w:t xml:space="preserve"> 20. Total 160.</w:t>
            </w:r>
          </w:p>
          <w:p w:rsidR="00DE1B01" w:rsidRPr="00CD40E2" w:rsidRDefault="00DE1B01" w:rsidP="00DE1B01">
            <w:pPr>
              <w:spacing w:before="60" w:after="60"/>
              <w:rPr>
                <w:rFonts w:ascii="Arial" w:hAnsi="Arial" w:cs="Arial"/>
                <w:szCs w:val="22"/>
              </w:rPr>
            </w:pPr>
            <w:r w:rsidRPr="00CD40E2">
              <w:rPr>
                <w:rFonts w:ascii="Arial" w:hAnsi="Arial" w:cs="Arial"/>
                <w:szCs w:val="22"/>
              </w:rPr>
              <w:t xml:space="preserve">10x Dell/EMC </w:t>
            </w:r>
            <w:proofErr w:type="spellStart"/>
            <w:r w:rsidRPr="00CD40E2">
              <w:rPr>
                <w:rFonts w:ascii="Arial" w:hAnsi="Arial" w:cs="Arial"/>
                <w:szCs w:val="22"/>
              </w:rPr>
              <w:t>Isilon</w:t>
            </w:r>
            <w:proofErr w:type="spellEnd"/>
            <w:r w:rsidRPr="00CD40E2">
              <w:rPr>
                <w:rFonts w:ascii="Arial" w:hAnsi="Arial" w:cs="Arial"/>
                <w:szCs w:val="22"/>
              </w:rPr>
              <w:t xml:space="preserve"> IQ 12000X INFINIBAND (6 in PITT, 4 in JP)</w:t>
            </w:r>
          </w:p>
          <w:p w:rsidR="00DE1B01" w:rsidRPr="00CD40E2" w:rsidRDefault="00DE1B01" w:rsidP="00DE1B01">
            <w:pPr>
              <w:spacing w:before="60" w:after="60"/>
              <w:rPr>
                <w:rFonts w:ascii="Arial" w:hAnsi="Arial" w:cs="Arial"/>
                <w:szCs w:val="22"/>
              </w:rPr>
            </w:pPr>
            <w:r w:rsidRPr="00CD40E2">
              <w:rPr>
                <w:rFonts w:ascii="Arial" w:hAnsi="Arial" w:cs="Arial"/>
                <w:szCs w:val="22"/>
              </w:rPr>
              <w:t>1x IQACCELERATOR-X-NR-HW (1 in JP)</w:t>
            </w:r>
          </w:p>
          <w:p w:rsidR="00DE1B01" w:rsidRPr="00CD40E2" w:rsidRDefault="00DE1B01" w:rsidP="00DE1B01">
            <w:pPr>
              <w:spacing w:before="60" w:after="60"/>
              <w:rPr>
                <w:rFonts w:ascii="Arial" w:hAnsi="Arial" w:cs="Arial"/>
                <w:i/>
                <w:color w:val="0000FF"/>
                <w:szCs w:val="22"/>
              </w:rPr>
            </w:pPr>
            <w:r w:rsidRPr="00CD40E2">
              <w:rPr>
                <w:rFonts w:ascii="Arial" w:hAnsi="Arial" w:cs="Arial"/>
                <w:szCs w:val="22"/>
              </w:rPr>
              <w:t>1x NetApp 2xFAS6240; 21x ds4243 Disk Shelf arrays enclosures (Pitt)</w:t>
            </w:r>
          </w:p>
        </w:tc>
      </w:tr>
      <w:tr w:rsidR="00DE1B01" w:rsidRPr="00DE1B01" w:rsidTr="00945B0C">
        <w:trPr>
          <w:cantSplit/>
        </w:trPr>
        <w:tc>
          <w:tcPr>
            <w:tcW w:w="1145" w:type="pct"/>
            <w:tcBorders>
              <w:top w:val="single" w:sz="4" w:space="0" w:color="000000"/>
              <w:left w:val="single" w:sz="4" w:space="0" w:color="000000"/>
              <w:bottom w:val="single" w:sz="4" w:space="0" w:color="000000"/>
              <w:right w:val="single" w:sz="4" w:space="0" w:color="000000"/>
            </w:tcBorders>
          </w:tcPr>
          <w:p w:rsidR="00DE1B01" w:rsidRPr="00DE1B01" w:rsidRDefault="00DE1B01" w:rsidP="00DE1B01">
            <w:pPr>
              <w:spacing w:before="60" w:after="60"/>
              <w:rPr>
                <w:rFonts w:ascii="Arial" w:hAnsi="Arial" w:cs="Arial"/>
                <w:b/>
                <w:color w:val="auto"/>
                <w:szCs w:val="22"/>
              </w:rPr>
            </w:pPr>
            <w:r w:rsidRPr="00DE1B01">
              <w:rPr>
                <w:rFonts w:ascii="Arial" w:hAnsi="Arial" w:cs="Arial"/>
                <w:b/>
                <w:color w:val="auto"/>
                <w:szCs w:val="22"/>
              </w:rPr>
              <w:t>Service</w:t>
            </w:r>
          </w:p>
        </w:tc>
        <w:tc>
          <w:tcPr>
            <w:tcW w:w="3855" w:type="pct"/>
            <w:tcBorders>
              <w:top w:val="single" w:sz="4" w:space="0" w:color="000000"/>
              <w:left w:val="single" w:sz="4" w:space="0" w:color="000000"/>
              <w:bottom w:val="single" w:sz="4" w:space="0" w:color="000000"/>
              <w:right w:val="single" w:sz="4" w:space="0" w:color="000000"/>
            </w:tcBorders>
          </w:tcPr>
          <w:p w:rsidR="00DE1B01" w:rsidRPr="00CD40E2" w:rsidRDefault="00DE1B01" w:rsidP="00DE1B01">
            <w:pPr>
              <w:spacing w:before="60" w:after="60"/>
              <w:rPr>
                <w:rFonts w:ascii="Arial" w:hAnsi="Arial" w:cs="Arial"/>
                <w:i/>
                <w:color w:val="0000FF"/>
                <w:szCs w:val="22"/>
              </w:rPr>
            </w:pPr>
            <w:r w:rsidRPr="00CD40E2">
              <w:rPr>
                <w:rFonts w:ascii="Arial" w:hAnsi="Arial" w:cs="Arial"/>
                <w:szCs w:val="22"/>
              </w:rPr>
              <w:t>E-</w:t>
            </w:r>
            <w:proofErr w:type="spellStart"/>
            <w:r w:rsidRPr="00CD40E2">
              <w:rPr>
                <w:rFonts w:ascii="Arial" w:hAnsi="Arial" w:cs="Arial"/>
                <w:szCs w:val="22"/>
              </w:rPr>
              <w:t>Navisphere</w:t>
            </w:r>
            <w:proofErr w:type="spellEnd"/>
            <w:r w:rsidRPr="00CD40E2">
              <w:rPr>
                <w:rFonts w:ascii="Arial" w:hAnsi="Arial" w:cs="Arial"/>
                <w:szCs w:val="22"/>
              </w:rPr>
              <w:t xml:space="preserve"> Manager License for CX4-240, ONEFS, Red Hat, VMWare</w:t>
            </w:r>
          </w:p>
        </w:tc>
      </w:tr>
      <w:tr w:rsidR="00DE1B01" w:rsidRPr="00DE1B01" w:rsidTr="00945B0C">
        <w:trPr>
          <w:cantSplit/>
        </w:trPr>
        <w:tc>
          <w:tcPr>
            <w:tcW w:w="1145" w:type="pct"/>
            <w:tcBorders>
              <w:top w:val="single" w:sz="4" w:space="0" w:color="000000"/>
              <w:left w:val="single" w:sz="4" w:space="0" w:color="000000"/>
              <w:bottom w:val="single" w:sz="4" w:space="0" w:color="000000"/>
              <w:right w:val="single" w:sz="4" w:space="0" w:color="000000"/>
            </w:tcBorders>
          </w:tcPr>
          <w:p w:rsidR="00DE1B01" w:rsidRPr="00DE1B01" w:rsidRDefault="00DE1B01" w:rsidP="00DE1B01">
            <w:pPr>
              <w:spacing w:before="60" w:after="60"/>
              <w:rPr>
                <w:rFonts w:ascii="Arial" w:hAnsi="Arial" w:cs="Arial"/>
                <w:b/>
                <w:color w:val="auto"/>
                <w:szCs w:val="22"/>
              </w:rPr>
            </w:pPr>
            <w:r w:rsidRPr="00DE1B01">
              <w:rPr>
                <w:rFonts w:ascii="Arial" w:hAnsi="Arial" w:cs="Arial"/>
                <w:b/>
                <w:color w:val="auto"/>
                <w:szCs w:val="22"/>
              </w:rPr>
              <w:t>Protocol</w:t>
            </w:r>
          </w:p>
        </w:tc>
        <w:tc>
          <w:tcPr>
            <w:tcW w:w="3855" w:type="pct"/>
            <w:tcBorders>
              <w:top w:val="single" w:sz="4" w:space="0" w:color="000000"/>
              <w:left w:val="single" w:sz="4" w:space="0" w:color="000000"/>
              <w:bottom w:val="single" w:sz="4" w:space="0" w:color="000000"/>
              <w:right w:val="single" w:sz="4" w:space="0" w:color="000000"/>
            </w:tcBorders>
          </w:tcPr>
          <w:p w:rsidR="00DE1B01" w:rsidRPr="00CD40E2" w:rsidRDefault="00DE1B01" w:rsidP="00DE1B01">
            <w:pPr>
              <w:spacing w:before="60" w:after="60"/>
              <w:rPr>
                <w:rFonts w:ascii="Arial" w:hAnsi="Arial" w:cs="Arial"/>
                <w:i/>
                <w:color w:val="0000FF"/>
                <w:szCs w:val="22"/>
              </w:rPr>
            </w:pPr>
            <w:r w:rsidRPr="00CD40E2">
              <w:rPr>
                <w:rFonts w:ascii="Arial" w:hAnsi="Arial" w:cs="Arial"/>
                <w:szCs w:val="22"/>
              </w:rPr>
              <w:t>TCP, HTTPS</w:t>
            </w:r>
          </w:p>
        </w:tc>
      </w:tr>
      <w:tr w:rsidR="00DE1B01" w:rsidRPr="00DE1B01" w:rsidTr="00945B0C">
        <w:trPr>
          <w:cantSplit/>
        </w:trPr>
        <w:tc>
          <w:tcPr>
            <w:tcW w:w="1145" w:type="pct"/>
            <w:tcBorders>
              <w:top w:val="single" w:sz="4" w:space="0" w:color="000000"/>
              <w:left w:val="single" w:sz="4" w:space="0" w:color="000000"/>
              <w:bottom w:val="single" w:sz="4" w:space="0" w:color="000000"/>
              <w:right w:val="single" w:sz="4" w:space="0" w:color="000000"/>
            </w:tcBorders>
          </w:tcPr>
          <w:p w:rsidR="00DE1B01" w:rsidRPr="00DE1B01" w:rsidRDefault="00DE1B01" w:rsidP="00DE1B01">
            <w:pPr>
              <w:spacing w:before="60" w:after="60"/>
              <w:rPr>
                <w:rFonts w:ascii="Arial" w:hAnsi="Arial" w:cs="Arial"/>
                <w:b/>
                <w:color w:val="auto"/>
                <w:szCs w:val="22"/>
              </w:rPr>
            </w:pPr>
            <w:r w:rsidRPr="00DE1B01">
              <w:rPr>
                <w:rFonts w:ascii="Arial" w:hAnsi="Arial" w:cs="Arial"/>
                <w:b/>
                <w:color w:val="auto"/>
                <w:szCs w:val="22"/>
              </w:rPr>
              <w:t>Database</w:t>
            </w:r>
          </w:p>
        </w:tc>
        <w:tc>
          <w:tcPr>
            <w:tcW w:w="3855" w:type="pct"/>
            <w:tcBorders>
              <w:top w:val="single" w:sz="4" w:space="0" w:color="000000"/>
              <w:left w:val="single" w:sz="4" w:space="0" w:color="000000"/>
              <w:bottom w:val="single" w:sz="4" w:space="0" w:color="000000"/>
              <w:right w:val="single" w:sz="4" w:space="0" w:color="000000"/>
            </w:tcBorders>
          </w:tcPr>
          <w:p w:rsidR="00DE1B01" w:rsidRPr="00CD40E2" w:rsidRDefault="00DE1B01" w:rsidP="00DE1B01">
            <w:pPr>
              <w:spacing w:before="60" w:after="60"/>
              <w:rPr>
                <w:rFonts w:ascii="Arial" w:hAnsi="Arial" w:cs="Arial"/>
                <w:szCs w:val="22"/>
              </w:rPr>
            </w:pPr>
            <w:r w:rsidRPr="00CD40E2">
              <w:rPr>
                <w:rFonts w:ascii="Arial" w:hAnsi="Arial" w:cs="Arial"/>
                <w:szCs w:val="22"/>
              </w:rPr>
              <w:t>SQL Server 2008 Enterprise Edition, .NET 4.0, Visual Studio 2010</w:t>
            </w:r>
          </w:p>
          <w:p w:rsidR="00DE1B01" w:rsidRPr="00CD40E2" w:rsidRDefault="0001731E" w:rsidP="00DE1B01">
            <w:pPr>
              <w:spacing w:before="60" w:after="60"/>
              <w:rPr>
                <w:rFonts w:ascii="Arial" w:hAnsi="Arial" w:cs="Arial"/>
                <w:color w:val="auto"/>
                <w:szCs w:val="22"/>
              </w:rPr>
            </w:pPr>
            <w:r>
              <w:rPr>
                <w:rFonts w:ascii="Arial" w:hAnsi="Arial" w:cs="Arial"/>
                <w:color w:val="auto"/>
                <w:szCs w:val="22"/>
              </w:rPr>
              <w:t>DNS</w:t>
            </w:r>
          </w:p>
          <w:p w:rsidR="00DE1B01" w:rsidRPr="00CD40E2" w:rsidRDefault="0001731E" w:rsidP="00DE1B01">
            <w:pPr>
              <w:spacing w:before="60" w:after="60"/>
              <w:rPr>
                <w:rFonts w:ascii="Arial" w:hAnsi="Arial" w:cs="Arial"/>
                <w:i/>
                <w:color w:val="0000FF"/>
                <w:szCs w:val="22"/>
              </w:rPr>
            </w:pPr>
            <w:r>
              <w:rPr>
                <w:rFonts w:ascii="Arial" w:hAnsi="Arial" w:cs="Arial"/>
                <w:color w:val="auto"/>
                <w:szCs w:val="22"/>
              </w:rPr>
              <w:t>DNS</w:t>
            </w:r>
          </w:p>
        </w:tc>
      </w:tr>
      <w:tr w:rsidR="00DE1B01" w:rsidRPr="00DE1B01" w:rsidTr="00945B0C">
        <w:trPr>
          <w:cantSplit/>
        </w:trPr>
        <w:tc>
          <w:tcPr>
            <w:tcW w:w="1145" w:type="pct"/>
            <w:tcBorders>
              <w:top w:val="single" w:sz="4" w:space="0" w:color="000000"/>
              <w:left w:val="single" w:sz="4" w:space="0" w:color="000000"/>
              <w:bottom w:val="single" w:sz="4" w:space="0" w:color="000000"/>
              <w:right w:val="single" w:sz="4" w:space="0" w:color="000000"/>
            </w:tcBorders>
          </w:tcPr>
          <w:p w:rsidR="00DE1B01" w:rsidRPr="00DE1B01" w:rsidRDefault="00DE1B01" w:rsidP="00DE1B01">
            <w:pPr>
              <w:spacing w:before="60" w:after="60"/>
              <w:rPr>
                <w:rFonts w:ascii="Arial" w:hAnsi="Arial" w:cs="Arial"/>
                <w:b/>
                <w:color w:val="auto"/>
                <w:szCs w:val="22"/>
              </w:rPr>
            </w:pPr>
            <w:r w:rsidRPr="00DE1B01">
              <w:rPr>
                <w:rFonts w:ascii="Arial" w:hAnsi="Arial" w:cs="Arial"/>
                <w:b/>
                <w:color w:val="auto"/>
                <w:szCs w:val="22"/>
              </w:rPr>
              <w:lastRenderedPageBreak/>
              <w:t>Port Number</w:t>
            </w:r>
          </w:p>
        </w:tc>
        <w:tc>
          <w:tcPr>
            <w:tcW w:w="3855" w:type="pct"/>
            <w:tcBorders>
              <w:top w:val="single" w:sz="4" w:space="0" w:color="000000"/>
              <w:left w:val="single" w:sz="4" w:space="0" w:color="000000"/>
              <w:bottom w:val="single" w:sz="4" w:space="0" w:color="000000"/>
              <w:right w:val="single" w:sz="4" w:space="0" w:color="000000"/>
            </w:tcBorders>
          </w:tcPr>
          <w:p w:rsidR="00DE1B01" w:rsidRPr="00CD40E2" w:rsidRDefault="00DE1B01" w:rsidP="00DE1B01">
            <w:pPr>
              <w:spacing w:before="60" w:after="60"/>
              <w:rPr>
                <w:rFonts w:ascii="Arial" w:hAnsi="Arial" w:cs="Arial"/>
              </w:rPr>
            </w:pPr>
            <w:r w:rsidRPr="00CD40E2">
              <w:rPr>
                <w:rFonts w:ascii="Arial" w:hAnsi="Arial" w:cs="Arial"/>
              </w:rPr>
              <w:t>5x Arista 7508 BUNDLE CHASSIS 4X2900PS 6XFABRIC 6XFAN 1XSUPERVISOR (A3760359); SUPERVISOR MODULE FOR 7500 SERIES CHASSIS (A3760363); 48PORT 10GBE SFP WIRE-SPEED LINECARD FOR 7500 SERIES (1Pitt)</w:t>
            </w:r>
          </w:p>
          <w:p w:rsidR="00DE1B01" w:rsidRPr="00CD40E2" w:rsidRDefault="00DE1B01" w:rsidP="00DE1B01">
            <w:pPr>
              <w:spacing w:before="60" w:after="60"/>
              <w:rPr>
                <w:rFonts w:ascii="Arial" w:hAnsi="Arial" w:cs="Arial"/>
              </w:rPr>
            </w:pPr>
            <w:r w:rsidRPr="00CD40E2">
              <w:rPr>
                <w:rFonts w:ascii="Arial" w:hAnsi="Arial" w:cs="Arial"/>
              </w:rPr>
              <w:t xml:space="preserve">2x </w:t>
            </w:r>
            <w:proofErr w:type="spellStart"/>
            <w:r w:rsidRPr="00CD40E2">
              <w:rPr>
                <w:rFonts w:ascii="Arial" w:hAnsi="Arial" w:cs="Arial"/>
              </w:rPr>
              <w:t>PowerConnect</w:t>
            </w:r>
            <w:proofErr w:type="spellEnd"/>
            <w:r w:rsidRPr="00CD40E2">
              <w:rPr>
                <w:rFonts w:ascii="Arial" w:hAnsi="Arial" w:cs="Arial"/>
              </w:rPr>
              <w:t xml:space="preserve"> 8024F, 24 10 </w:t>
            </w:r>
            <w:proofErr w:type="spellStart"/>
            <w:r w:rsidRPr="00CD40E2">
              <w:rPr>
                <w:rFonts w:ascii="Arial" w:hAnsi="Arial" w:cs="Arial"/>
              </w:rPr>
              <w:t>GbE</w:t>
            </w:r>
            <w:proofErr w:type="spellEnd"/>
            <w:r w:rsidRPr="00CD40E2">
              <w:rPr>
                <w:rFonts w:ascii="Arial" w:hAnsi="Arial" w:cs="Arial"/>
              </w:rPr>
              <w:t xml:space="preserve"> SFP+ Ports, Four Combo Ports (224-6406)</w:t>
            </w:r>
          </w:p>
          <w:p w:rsidR="00DE1B01" w:rsidRPr="00CD40E2" w:rsidRDefault="00DE1B01" w:rsidP="00DE1B01">
            <w:pPr>
              <w:spacing w:before="60" w:after="60"/>
              <w:rPr>
                <w:rFonts w:ascii="Arial" w:hAnsi="Arial" w:cs="Arial"/>
              </w:rPr>
            </w:pPr>
            <w:r w:rsidRPr="00CD40E2">
              <w:rPr>
                <w:rFonts w:ascii="Arial" w:hAnsi="Arial" w:cs="Arial"/>
              </w:rPr>
              <w:t xml:space="preserve">4x </w:t>
            </w:r>
            <w:proofErr w:type="spellStart"/>
            <w:r w:rsidRPr="00CD40E2">
              <w:rPr>
                <w:rFonts w:ascii="Arial" w:hAnsi="Arial" w:cs="Arial"/>
              </w:rPr>
              <w:t>PowerConnect</w:t>
            </w:r>
            <w:proofErr w:type="spellEnd"/>
            <w:r w:rsidRPr="00CD40E2">
              <w:rPr>
                <w:rFonts w:ascii="Arial" w:hAnsi="Arial" w:cs="Arial"/>
              </w:rPr>
              <w:t xml:space="preserve"> 8024F, 20 </w:t>
            </w:r>
            <w:proofErr w:type="spellStart"/>
            <w:r w:rsidRPr="00CD40E2">
              <w:rPr>
                <w:rFonts w:ascii="Arial" w:hAnsi="Arial" w:cs="Arial"/>
              </w:rPr>
              <w:t>GbE</w:t>
            </w:r>
            <w:proofErr w:type="spellEnd"/>
            <w:r w:rsidRPr="00CD40E2">
              <w:rPr>
                <w:rFonts w:ascii="Arial" w:hAnsi="Arial" w:cs="Arial"/>
              </w:rPr>
              <w:t xml:space="preserve"> Ports Managed Switch, 10GbE and Redundant Stacking Capable (for M1000e chassis) (3 at PITT; 3 in JP)</w:t>
            </w:r>
          </w:p>
          <w:p w:rsidR="00DE1B01" w:rsidRPr="00CD40E2" w:rsidRDefault="00DE1B01" w:rsidP="00DE1B01">
            <w:pPr>
              <w:spacing w:before="60" w:after="60"/>
              <w:rPr>
                <w:rFonts w:ascii="Arial" w:hAnsi="Arial" w:cs="Arial"/>
              </w:rPr>
            </w:pPr>
            <w:r w:rsidRPr="00CD40E2">
              <w:rPr>
                <w:rFonts w:ascii="Arial" w:hAnsi="Arial" w:cs="Arial"/>
              </w:rPr>
              <w:t xml:space="preserve">4x </w:t>
            </w:r>
            <w:proofErr w:type="spellStart"/>
            <w:r w:rsidRPr="00CD40E2">
              <w:rPr>
                <w:rFonts w:ascii="Arial" w:hAnsi="Arial" w:cs="Arial"/>
              </w:rPr>
              <w:t>PowerConnect</w:t>
            </w:r>
            <w:proofErr w:type="spellEnd"/>
            <w:r w:rsidRPr="00CD40E2">
              <w:rPr>
                <w:rFonts w:ascii="Arial" w:hAnsi="Arial" w:cs="Arial"/>
              </w:rPr>
              <w:t xml:space="preserve"> 6248, 48 </w:t>
            </w:r>
            <w:proofErr w:type="spellStart"/>
            <w:r w:rsidRPr="00CD40E2">
              <w:rPr>
                <w:rFonts w:ascii="Arial" w:hAnsi="Arial" w:cs="Arial"/>
              </w:rPr>
              <w:t>GbE</w:t>
            </w:r>
            <w:proofErr w:type="spellEnd"/>
            <w:r w:rsidRPr="00CD40E2">
              <w:rPr>
                <w:rFonts w:ascii="Arial" w:hAnsi="Arial" w:cs="Arial"/>
              </w:rPr>
              <w:t xml:space="preserve"> </w:t>
            </w:r>
            <w:proofErr w:type="spellStart"/>
            <w:r w:rsidRPr="00CD40E2">
              <w:rPr>
                <w:rFonts w:ascii="Arial" w:hAnsi="Arial" w:cs="Arial"/>
              </w:rPr>
              <w:t>PortManaged</w:t>
            </w:r>
            <w:proofErr w:type="spellEnd"/>
            <w:r w:rsidRPr="00CD40E2">
              <w:rPr>
                <w:rFonts w:ascii="Arial" w:hAnsi="Arial" w:cs="Arial"/>
              </w:rPr>
              <w:t xml:space="preserve"> Switch, 10GbE and Stacking Capable (222-6714) (2 in PITT, 2 in JP)</w:t>
            </w:r>
          </w:p>
          <w:p w:rsidR="00DE1B01" w:rsidRPr="00CD40E2" w:rsidRDefault="00DE1B01" w:rsidP="00DE1B01">
            <w:pPr>
              <w:spacing w:before="60" w:after="60"/>
              <w:rPr>
                <w:rFonts w:ascii="Arial" w:hAnsi="Arial" w:cs="Arial"/>
              </w:rPr>
            </w:pPr>
            <w:r w:rsidRPr="00CD40E2">
              <w:rPr>
                <w:rFonts w:ascii="Arial" w:hAnsi="Arial" w:cs="Arial"/>
              </w:rPr>
              <w:t>4x Brocade 5100 24-32-40 Port FC8Switch (224-0453) (for CX4-240c) (2 at PITT, 2 at JP)</w:t>
            </w:r>
          </w:p>
          <w:p w:rsidR="00DE1B01" w:rsidRPr="00CD40E2" w:rsidRDefault="00DE1B01" w:rsidP="00DE1B01">
            <w:pPr>
              <w:spacing w:before="60" w:after="60"/>
              <w:rPr>
                <w:rFonts w:ascii="Arial" w:hAnsi="Arial" w:cs="Arial"/>
              </w:rPr>
            </w:pPr>
            <w:r w:rsidRPr="00CD40E2">
              <w:rPr>
                <w:rFonts w:ascii="Arial" w:hAnsi="Arial" w:cs="Arial"/>
              </w:rPr>
              <w:t xml:space="preserve">2x QLOGIC 9024CU-24 PORT DDR SWITCH (for </w:t>
            </w:r>
            <w:proofErr w:type="spellStart"/>
            <w:r w:rsidRPr="00CD40E2">
              <w:rPr>
                <w:rFonts w:ascii="Arial" w:hAnsi="Arial" w:cs="Arial"/>
              </w:rPr>
              <w:t>Isilon</w:t>
            </w:r>
            <w:proofErr w:type="spellEnd"/>
            <w:r w:rsidRPr="00CD40E2">
              <w:rPr>
                <w:rFonts w:ascii="Arial" w:hAnsi="Arial" w:cs="Arial"/>
              </w:rPr>
              <w:t xml:space="preserve"> IQ12000) (2 in JP)</w:t>
            </w:r>
          </w:p>
          <w:p w:rsidR="00DE1B01" w:rsidRPr="00CD40E2" w:rsidRDefault="00DE1B01" w:rsidP="00DE1B01">
            <w:pPr>
              <w:spacing w:before="60" w:after="60"/>
              <w:rPr>
                <w:rFonts w:ascii="Arial" w:hAnsi="Arial" w:cs="Arial"/>
              </w:rPr>
            </w:pPr>
            <w:r w:rsidRPr="00CD40E2">
              <w:rPr>
                <w:rFonts w:ascii="Arial" w:hAnsi="Arial" w:cs="Arial"/>
              </w:rPr>
              <w:t xml:space="preserve">4x </w:t>
            </w:r>
            <w:proofErr w:type="spellStart"/>
            <w:r w:rsidRPr="00CD40E2">
              <w:rPr>
                <w:rFonts w:ascii="Arial" w:hAnsi="Arial" w:cs="Arial"/>
              </w:rPr>
              <w:t>PowerConnect</w:t>
            </w:r>
            <w:proofErr w:type="spellEnd"/>
            <w:r w:rsidRPr="00CD40E2">
              <w:rPr>
                <w:rFonts w:ascii="Arial" w:hAnsi="Arial" w:cs="Arial"/>
              </w:rPr>
              <w:t xml:space="preserve"> Managed Switch 24 10GbE Ports, Redundant (224-3169) (for M1000e chassis)</w:t>
            </w:r>
          </w:p>
          <w:p w:rsidR="00DE1B01" w:rsidRPr="00CD40E2" w:rsidRDefault="00DE1B01" w:rsidP="00DE1B01">
            <w:pPr>
              <w:spacing w:before="60" w:after="60"/>
              <w:rPr>
                <w:rFonts w:ascii="Arial" w:hAnsi="Arial" w:cs="Arial"/>
                <w:i/>
                <w:color w:val="0000FF"/>
              </w:rPr>
            </w:pPr>
            <w:r w:rsidRPr="00CD40E2">
              <w:rPr>
                <w:rFonts w:ascii="Arial" w:hAnsi="Arial" w:cs="Arial"/>
              </w:rPr>
              <w:t xml:space="preserve">3xArista 7548s-LC; 48port 10GbE </w:t>
            </w:r>
            <w:proofErr w:type="spellStart"/>
            <w:r w:rsidRPr="00CD40E2">
              <w:rPr>
                <w:rFonts w:ascii="Arial" w:hAnsi="Arial" w:cs="Arial"/>
              </w:rPr>
              <w:t>SFP+wire-speed</w:t>
            </w:r>
            <w:proofErr w:type="spellEnd"/>
            <w:r w:rsidRPr="00CD40E2">
              <w:rPr>
                <w:rFonts w:ascii="Arial" w:hAnsi="Arial" w:cs="Arial"/>
              </w:rPr>
              <w:t xml:space="preserve"> 7500 series (for NetApp in Pitt)</w:t>
            </w:r>
          </w:p>
        </w:tc>
      </w:tr>
    </w:tbl>
    <w:p w:rsidR="00B54AC0" w:rsidRDefault="00B54AC0" w:rsidP="00B54AC0">
      <w:pPr>
        <w:rPr>
          <w:rFonts w:ascii="Arial" w:hAnsi="Arial" w:cs="Arial"/>
          <w:b/>
          <w:bCs/>
          <w:kern w:val="32"/>
          <w:sz w:val="20"/>
          <w:szCs w:val="20"/>
        </w:rPr>
      </w:pPr>
    </w:p>
    <w:p w:rsidR="00B54AC0" w:rsidRDefault="00B54AC0">
      <w:pPr>
        <w:rPr>
          <w:rFonts w:ascii="Arial" w:hAnsi="Arial" w:cs="Arial"/>
          <w:b/>
          <w:bCs/>
          <w:kern w:val="32"/>
          <w:sz w:val="36"/>
          <w:szCs w:val="32"/>
        </w:rPr>
      </w:pPr>
    </w:p>
    <w:p w:rsidR="00E85F73" w:rsidRDefault="00E85F73" w:rsidP="00E85F73">
      <w:pPr>
        <w:pStyle w:val="Heading1"/>
      </w:pPr>
      <w:bookmarkStart w:id="7" w:name="_Toc485322795"/>
      <w:r>
        <w:lastRenderedPageBreak/>
        <w:t>Primary Operational Support Entities &amp; FTE</w:t>
      </w:r>
      <w:bookmarkEnd w:id="7"/>
    </w:p>
    <w:p w:rsidR="00985CD1" w:rsidRPr="00CD40E2" w:rsidRDefault="00985CD1" w:rsidP="00CD40E2">
      <w:pPr>
        <w:pStyle w:val="Caption"/>
        <w:spacing w:after="120"/>
        <w:jc w:val="center"/>
        <w:rPr>
          <w:sz w:val="22"/>
          <w:szCs w:val="22"/>
        </w:rPr>
      </w:pPr>
      <w:r w:rsidRPr="00CD40E2">
        <w:rPr>
          <w:sz w:val="22"/>
          <w:szCs w:val="22"/>
        </w:rPr>
        <w:t xml:space="preserve">Table </w:t>
      </w:r>
      <w:r w:rsidR="00CD40E2" w:rsidRPr="00CD40E2">
        <w:rPr>
          <w:sz w:val="22"/>
          <w:szCs w:val="22"/>
        </w:rPr>
        <w:fldChar w:fldCharType="begin"/>
      </w:r>
      <w:r w:rsidR="00CD40E2" w:rsidRPr="00CD40E2">
        <w:rPr>
          <w:sz w:val="22"/>
          <w:szCs w:val="22"/>
        </w:rPr>
        <w:instrText xml:space="preserve"> SEQ Table \* ARABIC </w:instrText>
      </w:r>
      <w:r w:rsidR="00CD40E2" w:rsidRPr="00CD40E2">
        <w:rPr>
          <w:sz w:val="22"/>
          <w:szCs w:val="22"/>
        </w:rPr>
        <w:fldChar w:fldCharType="separate"/>
      </w:r>
      <w:r w:rsidRPr="00CD40E2">
        <w:rPr>
          <w:noProof/>
          <w:sz w:val="22"/>
          <w:szCs w:val="22"/>
        </w:rPr>
        <w:t>2</w:t>
      </w:r>
      <w:r w:rsidR="00CD40E2" w:rsidRPr="00CD40E2">
        <w:rPr>
          <w:noProof/>
          <w:sz w:val="22"/>
          <w:szCs w:val="22"/>
        </w:rPr>
        <w:fldChar w:fldCharType="end"/>
      </w:r>
      <w:r w:rsidRPr="00CD40E2">
        <w:rPr>
          <w:sz w:val="22"/>
          <w:szCs w:val="22"/>
        </w:rPr>
        <w:t>: Operational Support Staff</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Operational Support Staff"/>
        <w:tblDescription w:val="This table lists the operational support staff resources needed, by name, (title or role accepted if position is vacant), Gov or non-Gov status, their organizations and the estimated annual man-hours necessary to install, maintain, and patch the systems (FO staff, CDCO staff, ESE, etc.). "/>
      </w:tblPr>
      <w:tblGrid>
        <w:gridCol w:w="1930"/>
        <w:gridCol w:w="2398"/>
        <w:gridCol w:w="1383"/>
        <w:gridCol w:w="1383"/>
        <w:gridCol w:w="827"/>
        <w:gridCol w:w="1655"/>
      </w:tblGrid>
      <w:tr w:rsidR="00985CD1" w:rsidRPr="0051422A" w:rsidTr="00C84BD0">
        <w:trPr>
          <w:cantSplit/>
          <w:tblHeader/>
        </w:trPr>
        <w:tc>
          <w:tcPr>
            <w:tcW w:w="1007" w:type="pct"/>
            <w:shd w:val="clear" w:color="auto" w:fill="F2F2F2" w:themeFill="background1" w:themeFillShade="F2"/>
          </w:tcPr>
          <w:p w:rsidR="00985CD1" w:rsidRPr="0051422A" w:rsidRDefault="00985CD1" w:rsidP="00945B0C">
            <w:pPr>
              <w:pStyle w:val="TableHeading"/>
            </w:pPr>
            <w:r w:rsidRPr="0051422A">
              <w:t>Name</w:t>
            </w:r>
          </w:p>
        </w:tc>
        <w:tc>
          <w:tcPr>
            <w:tcW w:w="1252" w:type="pct"/>
            <w:shd w:val="clear" w:color="auto" w:fill="F2F2F2" w:themeFill="background1" w:themeFillShade="F2"/>
          </w:tcPr>
          <w:p w:rsidR="00985CD1" w:rsidRPr="0051422A" w:rsidRDefault="00985CD1" w:rsidP="00945B0C">
            <w:pPr>
              <w:pStyle w:val="TableHeading"/>
            </w:pPr>
            <w:r w:rsidRPr="0051422A">
              <w:t>Role</w:t>
            </w:r>
          </w:p>
        </w:tc>
        <w:tc>
          <w:tcPr>
            <w:tcW w:w="722" w:type="pct"/>
            <w:shd w:val="clear" w:color="auto" w:fill="F2F2F2" w:themeFill="background1" w:themeFillShade="F2"/>
          </w:tcPr>
          <w:p w:rsidR="00985CD1" w:rsidRPr="0051422A" w:rsidRDefault="00985CD1" w:rsidP="00945B0C">
            <w:pPr>
              <w:pStyle w:val="TableHeading"/>
            </w:pPr>
            <w:proofErr w:type="spellStart"/>
            <w:r w:rsidRPr="0051422A">
              <w:t>Gov</w:t>
            </w:r>
            <w:proofErr w:type="spellEnd"/>
            <w:r w:rsidRPr="0051422A">
              <w:t xml:space="preserve"> or non-</w:t>
            </w:r>
            <w:proofErr w:type="spellStart"/>
            <w:r w:rsidRPr="0051422A">
              <w:t>Gov</w:t>
            </w:r>
            <w:proofErr w:type="spellEnd"/>
            <w:r w:rsidRPr="0051422A">
              <w:t>?</w:t>
            </w:r>
          </w:p>
        </w:tc>
        <w:tc>
          <w:tcPr>
            <w:tcW w:w="722" w:type="pct"/>
            <w:shd w:val="clear" w:color="auto" w:fill="F2F2F2" w:themeFill="background1" w:themeFillShade="F2"/>
          </w:tcPr>
          <w:p w:rsidR="00985CD1" w:rsidRPr="0051422A" w:rsidRDefault="00985CD1" w:rsidP="00945B0C">
            <w:pPr>
              <w:pStyle w:val="TableHeading"/>
            </w:pPr>
            <w:r w:rsidRPr="0051422A">
              <w:t>FTE (man-hours/</w:t>
            </w:r>
            <w:proofErr w:type="spellStart"/>
            <w:r w:rsidRPr="0051422A">
              <w:t>yr</w:t>
            </w:r>
            <w:proofErr w:type="spellEnd"/>
            <w:r w:rsidRPr="0051422A">
              <w:t>)</w:t>
            </w:r>
          </w:p>
        </w:tc>
        <w:tc>
          <w:tcPr>
            <w:tcW w:w="432" w:type="pct"/>
            <w:shd w:val="clear" w:color="auto" w:fill="F2F2F2" w:themeFill="background1" w:themeFillShade="F2"/>
          </w:tcPr>
          <w:p w:rsidR="00985CD1" w:rsidRPr="0051422A" w:rsidRDefault="00985CD1" w:rsidP="00945B0C">
            <w:pPr>
              <w:pStyle w:val="TableHeading"/>
            </w:pPr>
            <w:r w:rsidRPr="0051422A">
              <w:t>Org</w:t>
            </w:r>
          </w:p>
        </w:tc>
        <w:tc>
          <w:tcPr>
            <w:tcW w:w="864" w:type="pct"/>
            <w:shd w:val="clear" w:color="auto" w:fill="F2F2F2" w:themeFill="background1" w:themeFillShade="F2"/>
          </w:tcPr>
          <w:p w:rsidR="00985CD1" w:rsidRPr="0051422A" w:rsidRDefault="00985CD1" w:rsidP="00945B0C">
            <w:pPr>
              <w:pStyle w:val="TableHeading"/>
            </w:pPr>
            <w:r w:rsidRPr="0051422A">
              <w:t>Contact Info</w:t>
            </w:r>
          </w:p>
        </w:tc>
      </w:tr>
      <w:tr w:rsidR="00985CD1" w:rsidRPr="00985CD1" w:rsidTr="007872E5">
        <w:trPr>
          <w:cantSplit/>
        </w:trPr>
        <w:tc>
          <w:tcPr>
            <w:tcW w:w="1007" w:type="pct"/>
          </w:tcPr>
          <w:p w:rsidR="00985CD1" w:rsidRPr="00887F39" w:rsidRDefault="00985CD1" w:rsidP="00945B0C">
            <w:pPr>
              <w:pStyle w:val="TableText"/>
            </w:pPr>
            <w:r w:rsidRPr="00887F39">
              <w:t>TBD</w:t>
            </w:r>
          </w:p>
        </w:tc>
        <w:tc>
          <w:tcPr>
            <w:tcW w:w="1252" w:type="pct"/>
          </w:tcPr>
          <w:p w:rsidR="00985CD1" w:rsidRPr="00887F39" w:rsidRDefault="00887F39" w:rsidP="00945B0C">
            <w:pPr>
              <w:pStyle w:val="TableText"/>
            </w:pPr>
            <w:proofErr w:type="spellStart"/>
            <w:r w:rsidRPr="00887F39">
              <w:t>Wildfly</w:t>
            </w:r>
            <w:proofErr w:type="spellEnd"/>
            <w:r w:rsidR="00985CD1" w:rsidRPr="00887F39">
              <w:t xml:space="preserve"> Administrator</w:t>
            </w:r>
            <w:r w:rsidRPr="00887F39">
              <w:t>/</w:t>
            </w:r>
            <w:r w:rsidR="007017C3">
              <w:t xml:space="preserve"> </w:t>
            </w:r>
            <w:r w:rsidRPr="00887F39">
              <w:t>JBPM</w:t>
            </w:r>
          </w:p>
        </w:tc>
        <w:tc>
          <w:tcPr>
            <w:tcW w:w="722" w:type="pct"/>
          </w:tcPr>
          <w:p w:rsidR="00985CD1" w:rsidRPr="00887F39" w:rsidRDefault="00985CD1" w:rsidP="00945B0C">
            <w:pPr>
              <w:pStyle w:val="TableText"/>
            </w:pPr>
            <w:r w:rsidRPr="00887F39">
              <w:t>Non-</w:t>
            </w:r>
            <w:proofErr w:type="spellStart"/>
            <w:r w:rsidRPr="00887F39">
              <w:t>Gov</w:t>
            </w:r>
            <w:proofErr w:type="spellEnd"/>
          </w:p>
        </w:tc>
        <w:tc>
          <w:tcPr>
            <w:tcW w:w="722" w:type="pct"/>
          </w:tcPr>
          <w:p w:rsidR="00985CD1" w:rsidRPr="00887F39" w:rsidRDefault="00887F39" w:rsidP="00945B0C">
            <w:pPr>
              <w:pStyle w:val="TableText"/>
            </w:pPr>
            <w:r w:rsidRPr="00887F39">
              <w:t>826.66</w:t>
            </w:r>
            <w:r w:rsidR="00985CD1" w:rsidRPr="00887F39">
              <w:t xml:space="preserve"> hours</w:t>
            </w:r>
          </w:p>
        </w:tc>
        <w:tc>
          <w:tcPr>
            <w:tcW w:w="432" w:type="pct"/>
          </w:tcPr>
          <w:p w:rsidR="00985CD1" w:rsidRPr="00887F39" w:rsidRDefault="00985CD1" w:rsidP="00945B0C">
            <w:pPr>
              <w:pStyle w:val="TableText"/>
            </w:pPr>
            <w:r w:rsidRPr="00887F39">
              <w:t>EO</w:t>
            </w:r>
          </w:p>
        </w:tc>
        <w:tc>
          <w:tcPr>
            <w:tcW w:w="864" w:type="pct"/>
          </w:tcPr>
          <w:p w:rsidR="00985CD1" w:rsidRPr="00887F39" w:rsidRDefault="00985CD1" w:rsidP="00945B0C">
            <w:pPr>
              <w:pStyle w:val="TableText"/>
            </w:pPr>
            <w:r w:rsidRPr="00887F39">
              <w:t>TBD</w:t>
            </w:r>
          </w:p>
        </w:tc>
      </w:tr>
      <w:tr w:rsidR="00985CD1" w:rsidRPr="00985CD1" w:rsidTr="007872E5">
        <w:trPr>
          <w:cantSplit/>
        </w:trPr>
        <w:tc>
          <w:tcPr>
            <w:tcW w:w="1007" w:type="pct"/>
          </w:tcPr>
          <w:p w:rsidR="00985CD1" w:rsidRPr="00887F39" w:rsidRDefault="00985CD1" w:rsidP="00945B0C">
            <w:pPr>
              <w:pStyle w:val="TableText"/>
            </w:pPr>
            <w:r w:rsidRPr="00887F39">
              <w:t>TBD</w:t>
            </w:r>
          </w:p>
        </w:tc>
        <w:tc>
          <w:tcPr>
            <w:tcW w:w="1252" w:type="pct"/>
          </w:tcPr>
          <w:p w:rsidR="00985CD1" w:rsidRPr="00887F39" w:rsidRDefault="00887F39" w:rsidP="00945B0C">
            <w:pPr>
              <w:pStyle w:val="TableText"/>
            </w:pPr>
            <w:r w:rsidRPr="00887F39">
              <w:t>Unix Systems Administrator</w:t>
            </w:r>
          </w:p>
        </w:tc>
        <w:tc>
          <w:tcPr>
            <w:tcW w:w="722" w:type="pct"/>
          </w:tcPr>
          <w:p w:rsidR="00985CD1" w:rsidRPr="00887F39" w:rsidRDefault="00985CD1" w:rsidP="00945B0C">
            <w:pPr>
              <w:pStyle w:val="TableText"/>
            </w:pPr>
            <w:r w:rsidRPr="00887F39">
              <w:t>Non-</w:t>
            </w:r>
            <w:proofErr w:type="spellStart"/>
            <w:r w:rsidRPr="00887F39">
              <w:t>Gov</w:t>
            </w:r>
            <w:proofErr w:type="spellEnd"/>
          </w:p>
        </w:tc>
        <w:tc>
          <w:tcPr>
            <w:tcW w:w="722" w:type="pct"/>
          </w:tcPr>
          <w:p w:rsidR="00985CD1" w:rsidRPr="00887F39" w:rsidRDefault="00887F39" w:rsidP="00945B0C">
            <w:pPr>
              <w:pStyle w:val="TableText"/>
            </w:pPr>
            <w:r w:rsidRPr="00887F39">
              <w:t>826.66</w:t>
            </w:r>
            <w:r w:rsidR="007017C3">
              <w:t xml:space="preserve"> hours</w:t>
            </w:r>
          </w:p>
        </w:tc>
        <w:tc>
          <w:tcPr>
            <w:tcW w:w="432" w:type="pct"/>
          </w:tcPr>
          <w:p w:rsidR="00985CD1" w:rsidRPr="00887F39" w:rsidRDefault="00985CD1" w:rsidP="00945B0C">
            <w:pPr>
              <w:pStyle w:val="TableText"/>
            </w:pPr>
            <w:r w:rsidRPr="00887F39">
              <w:t>EO</w:t>
            </w:r>
          </w:p>
        </w:tc>
        <w:tc>
          <w:tcPr>
            <w:tcW w:w="864" w:type="pct"/>
          </w:tcPr>
          <w:p w:rsidR="00985CD1" w:rsidRPr="00887F39" w:rsidRDefault="00985CD1" w:rsidP="00945B0C">
            <w:pPr>
              <w:pStyle w:val="TableText"/>
            </w:pPr>
            <w:r w:rsidRPr="00887F39">
              <w:t>TBD</w:t>
            </w:r>
          </w:p>
        </w:tc>
      </w:tr>
      <w:tr w:rsidR="00985CD1" w:rsidRPr="00985CD1" w:rsidTr="007872E5">
        <w:trPr>
          <w:cantSplit/>
        </w:trPr>
        <w:tc>
          <w:tcPr>
            <w:tcW w:w="1007" w:type="pct"/>
          </w:tcPr>
          <w:p w:rsidR="00985CD1" w:rsidRPr="00887F39" w:rsidRDefault="00985CD1" w:rsidP="00945B0C">
            <w:pPr>
              <w:pStyle w:val="TableText"/>
            </w:pPr>
            <w:r w:rsidRPr="00887F39">
              <w:t>TBD</w:t>
            </w:r>
          </w:p>
        </w:tc>
        <w:tc>
          <w:tcPr>
            <w:tcW w:w="1252" w:type="pct"/>
          </w:tcPr>
          <w:p w:rsidR="00985CD1" w:rsidRPr="00887F39" w:rsidRDefault="00887F39" w:rsidP="00945B0C">
            <w:pPr>
              <w:pStyle w:val="TableText"/>
            </w:pPr>
            <w:r w:rsidRPr="00887F39">
              <w:t>NGINX Administrator</w:t>
            </w:r>
          </w:p>
        </w:tc>
        <w:tc>
          <w:tcPr>
            <w:tcW w:w="722" w:type="pct"/>
          </w:tcPr>
          <w:p w:rsidR="00985CD1" w:rsidRPr="00887F39" w:rsidRDefault="00985CD1" w:rsidP="00945B0C">
            <w:pPr>
              <w:pStyle w:val="TableText"/>
            </w:pPr>
            <w:r w:rsidRPr="00887F39">
              <w:t>Non-</w:t>
            </w:r>
            <w:proofErr w:type="spellStart"/>
            <w:r w:rsidRPr="00887F39">
              <w:t>Gov</w:t>
            </w:r>
            <w:proofErr w:type="spellEnd"/>
          </w:p>
        </w:tc>
        <w:tc>
          <w:tcPr>
            <w:tcW w:w="722" w:type="pct"/>
          </w:tcPr>
          <w:p w:rsidR="00985CD1" w:rsidRPr="00887F39" w:rsidRDefault="00887F39" w:rsidP="00945B0C">
            <w:pPr>
              <w:pStyle w:val="TableText"/>
            </w:pPr>
            <w:r w:rsidRPr="00887F39">
              <w:t>413.33</w:t>
            </w:r>
            <w:r w:rsidR="007017C3">
              <w:t xml:space="preserve"> hours</w:t>
            </w:r>
          </w:p>
        </w:tc>
        <w:tc>
          <w:tcPr>
            <w:tcW w:w="432" w:type="pct"/>
          </w:tcPr>
          <w:p w:rsidR="00985CD1" w:rsidRPr="00887F39" w:rsidRDefault="00985CD1" w:rsidP="00945B0C">
            <w:pPr>
              <w:pStyle w:val="TableText"/>
            </w:pPr>
            <w:r w:rsidRPr="00887F39">
              <w:t>EO</w:t>
            </w:r>
          </w:p>
        </w:tc>
        <w:tc>
          <w:tcPr>
            <w:tcW w:w="864" w:type="pct"/>
          </w:tcPr>
          <w:p w:rsidR="00985CD1" w:rsidRPr="00887F39" w:rsidRDefault="00985CD1" w:rsidP="00945B0C">
            <w:pPr>
              <w:pStyle w:val="TableText"/>
            </w:pPr>
            <w:r w:rsidRPr="00887F39">
              <w:t>TBD</w:t>
            </w:r>
          </w:p>
        </w:tc>
      </w:tr>
      <w:tr w:rsidR="00985CD1" w:rsidRPr="0051422A" w:rsidTr="007872E5">
        <w:trPr>
          <w:cantSplit/>
        </w:trPr>
        <w:tc>
          <w:tcPr>
            <w:tcW w:w="1007" w:type="pct"/>
          </w:tcPr>
          <w:p w:rsidR="00985CD1" w:rsidRPr="00887F39" w:rsidRDefault="00985CD1" w:rsidP="00945B0C">
            <w:pPr>
              <w:pStyle w:val="TableText"/>
            </w:pPr>
            <w:r w:rsidRPr="00887F39">
              <w:t>TBD</w:t>
            </w:r>
          </w:p>
        </w:tc>
        <w:tc>
          <w:tcPr>
            <w:tcW w:w="1252" w:type="pct"/>
          </w:tcPr>
          <w:p w:rsidR="00985CD1" w:rsidRPr="00887F39" w:rsidRDefault="00887F39" w:rsidP="00945B0C">
            <w:pPr>
              <w:pStyle w:val="TableText"/>
            </w:pPr>
            <w:r w:rsidRPr="00887F39">
              <w:t>Windows SQL Server Administrator</w:t>
            </w:r>
          </w:p>
        </w:tc>
        <w:tc>
          <w:tcPr>
            <w:tcW w:w="722" w:type="pct"/>
          </w:tcPr>
          <w:p w:rsidR="00985CD1" w:rsidRPr="00887F39" w:rsidRDefault="00985CD1" w:rsidP="00945B0C">
            <w:pPr>
              <w:pStyle w:val="TableText"/>
            </w:pPr>
            <w:r w:rsidRPr="00887F39">
              <w:t>Non-</w:t>
            </w:r>
            <w:proofErr w:type="spellStart"/>
            <w:r w:rsidRPr="00887F39">
              <w:t>Gov</w:t>
            </w:r>
            <w:proofErr w:type="spellEnd"/>
          </w:p>
        </w:tc>
        <w:tc>
          <w:tcPr>
            <w:tcW w:w="722" w:type="pct"/>
          </w:tcPr>
          <w:p w:rsidR="00985CD1" w:rsidRPr="00887F39" w:rsidRDefault="00887F39" w:rsidP="00945B0C">
            <w:pPr>
              <w:pStyle w:val="TableText"/>
            </w:pPr>
            <w:r w:rsidRPr="00887F39">
              <w:t>413.33</w:t>
            </w:r>
            <w:r w:rsidR="007017C3">
              <w:t xml:space="preserve"> hours</w:t>
            </w:r>
          </w:p>
        </w:tc>
        <w:tc>
          <w:tcPr>
            <w:tcW w:w="432" w:type="pct"/>
          </w:tcPr>
          <w:p w:rsidR="00985CD1" w:rsidRPr="00887F39" w:rsidRDefault="00985CD1" w:rsidP="00945B0C">
            <w:pPr>
              <w:pStyle w:val="TableText"/>
            </w:pPr>
            <w:r w:rsidRPr="00887F39">
              <w:t>EO</w:t>
            </w:r>
          </w:p>
        </w:tc>
        <w:tc>
          <w:tcPr>
            <w:tcW w:w="864" w:type="pct"/>
          </w:tcPr>
          <w:p w:rsidR="00985CD1" w:rsidRPr="00887F39" w:rsidRDefault="00985CD1" w:rsidP="00945B0C">
            <w:pPr>
              <w:pStyle w:val="TableText"/>
            </w:pPr>
            <w:r w:rsidRPr="00887F39">
              <w:t>TBD</w:t>
            </w:r>
          </w:p>
        </w:tc>
      </w:tr>
    </w:tbl>
    <w:p w:rsidR="00985CD1" w:rsidRPr="00985CD1" w:rsidRDefault="00985CD1" w:rsidP="00985CD1">
      <w:pPr>
        <w:pStyle w:val="BodyText"/>
      </w:pPr>
    </w:p>
    <w:tbl>
      <w:tblPr>
        <w:tblStyle w:val="TableGrid"/>
        <w:tblW w:w="0" w:type="auto"/>
        <w:tblLook w:val="04A0" w:firstRow="1" w:lastRow="0" w:firstColumn="1" w:lastColumn="0" w:noHBand="0" w:noVBand="1"/>
        <w:tblDescription w:val="Estimate of the Level of Effort based on the following table (Italicized text is an example only)."/>
      </w:tblPr>
      <w:tblGrid>
        <w:gridCol w:w="2761"/>
        <w:gridCol w:w="6589"/>
      </w:tblGrid>
      <w:tr w:rsidR="0036575D" w:rsidRPr="00887F39" w:rsidTr="00A233B5">
        <w:trPr>
          <w:cantSplit/>
          <w:tblHeader/>
        </w:trPr>
        <w:tc>
          <w:tcPr>
            <w:tcW w:w="2761" w:type="dxa"/>
            <w:shd w:val="clear" w:color="auto" w:fill="F2F2F2" w:themeFill="background1" w:themeFillShade="F2"/>
          </w:tcPr>
          <w:p w:rsidR="0036575D" w:rsidRPr="00887F39" w:rsidRDefault="0036575D" w:rsidP="0036575D">
            <w:pPr>
              <w:pStyle w:val="TableHeading"/>
            </w:pPr>
            <w:bookmarkStart w:id="8" w:name="ColumnTitle_05"/>
            <w:bookmarkEnd w:id="8"/>
            <w:r w:rsidRPr="00887F39">
              <w:t>Complexity</w:t>
            </w:r>
          </w:p>
        </w:tc>
        <w:tc>
          <w:tcPr>
            <w:tcW w:w="6589" w:type="dxa"/>
            <w:shd w:val="clear" w:color="auto" w:fill="F2F2F2" w:themeFill="background1" w:themeFillShade="F2"/>
          </w:tcPr>
          <w:p w:rsidR="0036575D" w:rsidRPr="00887F39" w:rsidRDefault="0036575D" w:rsidP="0036575D">
            <w:pPr>
              <w:pStyle w:val="TableHeading"/>
            </w:pPr>
            <w:r w:rsidRPr="00887F39">
              <w:t>Description</w:t>
            </w:r>
          </w:p>
        </w:tc>
      </w:tr>
      <w:tr w:rsidR="0036575D" w:rsidRPr="00887F39" w:rsidTr="00A233B5">
        <w:trPr>
          <w:cantSplit/>
        </w:trPr>
        <w:tc>
          <w:tcPr>
            <w:tcW w:w="2761" w:type="dxa"/>
          </w:tcPr>
          <w:p w:rsidR="0036575D" w:rsidRPr="00887F39" w:rsidRDefault="0036575D" w:rsidP="0036575D">
            <w:pPr>
              <w:pStyle w:val="TableText"/>
            </w:pPr>
            <w:r w:rsidRPr="00887F39">
              <w:t>Low Complexity</w:t>
            </w:r>
          </w:p>
        </w:tc>
        <w:tc>
          <w:tcPr>
            <w:tcW w:w="6589" w:type="dxa"/>
          </w:tcPr>
          <w:p w:rsidR="0036575D" w:rsidRPr="00887F39" w:rsidRDefault="0036575D" w:rsidP="0036575D">
            <w:pPr>
              <w:pStyle w:val="TableText"/>
            </w:pPr>
            <w:r w:rsidRPr="00887F39">
              <w:t xml:space="preserve">Max time is </w:t>
            </w:r>
            <w:r w:rsidRPr="00887F39">
              <w:rPr>
                <w:i/>
                <w:color w:val="FF0000"/>
              </w:rPr>
              <w:t>30 minutes per site X 131 sites = 65.5 hours</w:t>
            </w:r>
          </w:p>
        </w:tc>
      </w:tr>
      <w:tr w:rsidR="0036575D" w:rsidRPr="00887F39" w:rsidTr="00A233B5">
        <w:trPr>
          <w:cantSplit/>
        </w:trPr>
        <w:tc>
          <w:tcPr>
            <w:tcW w:w="2761" w:type="dxa"/>
          </w:tcPr>
          <w:p w:rsidR="0036575D" w:rsidRPr="00887F39" w:rsidRDefault="0036575D" w:rsidP="0036575D">
            <w:pPr>
              <w:pStyle w:val="TableText"/>
            </w:pPr>
            <w:r w:rsidRPr="00887F39">
              <w:t>Medium Complexity</w:t>
            </w:r>
          </w:p>
        </w:tc>
        <w:tc>
          <w:tcPr>
            <w:tcW w:w="6589" w:type="dxa"/>
          </w:tcPr>
          <w:p w:rsidR="0036575D" w:rsidRPr="00887F39" w:rsidRDefault="0036575D" w:rsidP="0036575D">
            <w:pPr>
              <w:pStyle w:val="TableText"/>
            </w:pPr>
            <w:r w:rsidRPr="00887F39">
              <w:t xml:space="preserve">Max time is </w:t>
            </w:r>
            <w:r w:rsidRPr="00887F39">
              <w:rPr>
                <w:i/>
                <w:color w:val="FF0000"/>
              </w:rPr>
              <w:t>1hour per site X 131 sites = 131 hours</w:t>
            </w:r>
          </w:p>
        </w:tc>
      </w:tr>
      <w:tr w:rsidR="0036575D" w:rsidRPr="00887F39" w:rsidTr="00A233B5">
        <w:trPr>
          <w:cantSplit/>
        </w:trPr>
        <w:tc>
          <w:tcPr>
            <w:tcW w:w="2761" w:type="dxa"/>
          </w:tcPr>
          <w:p w:rsidR="0036575D" w:rsidRPr="00887F39" w:rsidRDefault="0036575D" w:rsidP="0036575D">
            <w:pPr>
              <w:pStyle w:val="TableText"/>
            </w:pPr>
            <w:r w:rsidRPr="00887F39">
              <w:t>High Complexity</w:t>
            </w:r>
          </w:p>
        </w:tc>
        <w:tc>
          <w:tcPr>
            <w:tcW w:w="6589" w:type="dxa"/>
          </w:tcPr>
          <w:p w:rsidR="0036575D" w:rsidRPr="00887F39" w:rsidRDefault="0036575D" w:rsidP="0036575D">
            <w:pPr>
              <w:pStyle w:val="TableText"/>
            </w:pPr>
            <w:r w:rsidRPr="00887F39">
              <w:t xml:space="preserve">Max time is </w:t>
            </w:r>
            <w:r w:rsidRPr="00887F39">
              <w:rPr>
                <w:i/>
                <w:color w:val="FF0000"/>
              </w:rPr>
              <w:t>2 hour per site X 131 sites = 262 hours</w:t>
            </w:r>
          </w:p>
          <w:p w:rsidR="0036575D" w:rsidRPr="00887F39" w:rsidRDefault="0036575D" w:rsidP="0036575D">
            <w:pPr>
              <w:pStyle w:val="TableText"/>
            </w:pPr>
            <w:r w:rsidRPr="00887F39">
              <w:t xml:space="preserve">There will be </w:t>
            </w:r>
            <w:proofErr w:type="gramStart"/>
            <w:r w:rsidRPr="00887F39">
              <w:t>a post</w:t>
            </w:r>
            <w:proofErr w:type="gramEnd"/>
            <w:r w:rsidRPr="00887F39">
              <w:t>-</w:t>
            </w:r>
            <w:proofErr w:type="spellStart"/>
            <w:r w:rsidRPr="00887F39">
              <w:t>config</w:t>
            </w:r>
            <w:proofErr w:type="spellEnd"/>
            <w:r w:rsidRPr="00887F39">
              <w:t xml:space="preserve"> tasks.   </w:t>
            </w:r>
          </w:p>
        </w:tc>
      </w:tr>
      <w:tr w:rsidR="0036575D" w:rsidTr="00A233B5">
        <w:trPr>
          <w:cantSplit/>
        </w:trPr>
        <w:tc>
          <w:tcPr>
            <w:tcW w:w="2761" w:type="dxa"/>
          </w:tcPr>
          <w:p w:rsidR="0036575D" w:rsidRPr="00887F39" w:rsidRDefault="0036575D" w:rsidP="0036575D">
            <w:pPr>
              <w:pStyle w:val="TableText"/>
            </w:pPr>
            <w:r w:rsidRPr="00887F39">
              <w:t>Very High Complexity</w:t>
            </w:r>
          </w:p>
        </w:tc>
        <w:tc>
          <w:tcPr>
            <w:tcW w:w="6589" w:type="dxa"/>
          </w:tcPr>
          <w:p w:rsidR="0036575D" w:rsidRPr="00887F39" w:rsidRDefault="0036575D" w:rsidP="0036575D">
            <w:pPr>
              <w:pStyle w:val="TableText"/>
            </w:pPr>
            <w:r w:rsidRPr="00887F39">
              <w:t xml:space="preserve">Max time is </w:t>
            </w:r>
            <w:r w:rsidRPr="00887F39">
              <w:rPr>
                <w:i/>
                <w:color w:val="FF0000"/>
              </w:rPr>
              <w:t>3 hour per site X 131 sites = 393 hours</w:t>
            </w:r>
            <w:r w:rsidRPr="00887F39">
              <w:t xml:space="preserve"> </w:t>
            </w:r>
          </w:p>
          <w:p w:rsidR="0036575D" w:rsidRDefault="0036575D" w:rsidP="0036575D">
            <w:pPr>
              <w:pStyle w:val="TableText"/>
            </w:pPr>
            <w:r w:rsidRPr="00887F39">
              <w:t xml:space="preserve">There will be </w:t>
            </w:r>
            <w:proofErr w:type="gramStart"/>
            <w:r w:rsidRPr="00887F39">
              <w:t>a post</w:t>
            </w:r>
            <w:proofErr w:type="gramEnd"/>
            <w:r w:rsidRPr="00887F39">
              <w:t>-</w:t>
            </w:r>
            <w:proofErr w:type="spellStart"/>
            <w:r w:rsidRPr="00887F39">
              <w:t>config</w:t>
            </w:r>
            <w:proofErr w:type="spellEnd"/>
            <w:r w:rsidRPr="00887F39">
              <w:t xml:space="preserve"> tasks.</w:t>
            </w:r>
          </w:p>
        </w:tc>
      </w:tr>
    </w:tbl>
    <w:p w:rsidR="0036575D" w:rsidRPr="00FE4924" w:rsidRDefault="0036575D" w:rsidP="00FE4924">
      <w:pPr>
        <w:pStyle w:val="BodyText"/>
      </w:pPr>
    </w:p>
    <w:p w:rsidR="002E4DC7" w:rsidRDefault="002E4DC7" w:rsidP="002E4DC7">
      <w:pPr>
        <w:pStyle w:val="Heading1"/>
      </w:pPr>
      <w:bookmarkStart w:id="9" w:name="ColumnTitle_04"/>
      <w:bookmarkStart w:id="10" w:name="_Toc485322796"/>
      <w:bookmarkEnd w:id="9"/>
      <w:r>
        <w:lastRenderedPageBreak/>
        <w:t>Responsibility Matrix (Operational Roles and Responsibilities)</w:t>
      </w:r>
      <w:bookmarkEnd w:id="10"/>
    </w:p>
    <w:p w:rsidR="006833FF" w:rsidRPr="008B3E6B" w:rsidRDefault="006833FF" w:rsidP="006833FF">
      <w:pPr>
        <w:keepNext/>
        <w:keepLines/>
        <w:spacing w:before="240" w:after="60"/>
        <w:jc w:val="center"/>
        <w:rPr>
          <w:rFonts w:ascii="Arial" w:hAnsi="Arial" w:cs="Arial"/>
          <w:b/>
          <w:bCs/>
          <w:sz w:val="20"/>
          <w:szCs w:val="20"/>
        </w:rPr>
      </w:pPr>
      <w:r w:rsidRPr="008B3E6B">
        <w:rPr>
          <w:rFonts w:ascii="Arial" w:hAnsi="Arial" w:cs="Arial"/>
          <w:b/>
          <w:bCs/>
          <w:sz w:val="20"/>
          <w:szCs w:val="20"/>
        </w:rPr>
        <w:t xml:space="preserve">Table </w:t>
      </w:r>
      <w:r w:rsidRPr="008B3E6B">
        <w:rPr>
          <w:rFonts w:ascii="Arial" w:hAnsi="Arial" w:cs="Arial"/>
          <w:b/>
          <w:bCs/>
          <w:sz w:val="20"/>
          <w:szCs w:val="20"/>
        </w:rPr>
        <w:fldChar w:fldCharType="begin"/>
      </w:r>
      <w:r w:rsidRPr="008B3E6B">
        <w:rPr>
          <w:rFonts w:ascii="Arial" w:hAnsi="Arial" w:cs="Arial"/>
          <w:b/>
          <w:bCs/>
          <w:sz w:val="20"/>
          <w:szCs w:val="20"/>
        </w:rPr>
        <w:instrText xml:space="preserve"> SEQ Table \* ARABIC </w:instrText>
      </w:r>
      <w:r w:rsidRPr="008B3E6B">
        <w:rPr>
          <w:rFonts w:ascii="Arial" w:hAnsi="Arial" w:cs="Arial"/>
          <w:b/>
          <w:bCs/>
          <w:sz w:val="20"/>
          <w:szCs w:val="20"/>
        </w:rPr>
        <w:fldChar w:fldCharType="separate"/>
      </w:r>
      <w:r w:rsidRPr="008B3E6B">
        <w:rPr>
          <w:rFonts w:ascii="Arial" w:hAnsi="Arial" w:cs="Arial"/>
          <w:b/>
          <w:bCs/>
          <w:noProof/>
          <w:sz w:val="20"/>
          <w:szCs w:val="20"/>
        </w:rPr>
        <w:t>3</w:t>
      </w:r>
      <w:r w:rsidRPr="008B3E6B">
        <w:rPr>
          <w:rFonts w:ascii="Arial" w:hAnsi="Arial" w:cs="Arial"/>
          <w:b/>
          <w:bCs/>
          <w:noProof/>
          <w:sz w:val="20"/>
          <w:szCs w:val="20"/>
        </w:rPr>
        <w:fldChar w:fldCharType="end"/>
      </w:r>
      <w:r w:rsidRPr="008B3E6B">
        <w:rPr>
          <w:rFonts w:ascii="Arial" w:hAnsi="Arial" w:cs="Arial"/>
          <w:b/>
          <w:bCs/>
          <w:sz w:val="20"/>
          <w:szCs w:val="20"/>
        </w:rPr>
        <w:t xml:space="preserve">: </w:t>
      </w:r>
      <w:r w:rsidR="00EE1BC0">
        <w:rPr>
          <w:rFonts w:ascii="Arial" w:hAnsi="Arial" w:cs="Arial"/>
          <w:b/>
          <w:bCs/>
          <w:sz w:val="20"/>
          <w:szCs w:val="20"/>
        </w:rPr>
        <w:t>Genisis</w:t>
      </w:r>
      <w:r w:rsidR="00976A00">
        <w:rPr>
          <w:rFonts w:ascii="Arial" w:hAnsi="Arial" w:cs="Arial"/>
          <w:b/>
          <w:bCs/>
          <w:sz w:val="20"/>
          <w:szCs w:val="20"/>
        </w:rPr>
        <w:t>2</w:t>
      </w:r>
      <w:r w:rsidRPr="008B3E6B">
        <w:rPr>
          <w:rFonts w:ascii="Arial" w:hAnsi="Arial" w:cs="Arial"/>
          <w:b/>
          <w:bCs/>
          <w:sz w:val="20"/>
          <w:szCs w:val="20"/>
        </w:rPr>
        <w:t xml:space="preserve"> Operational Roles and Responsibilities</w:t>
      </w:r>
    </w:p>
    <w:tbl>
      <w:tblPr>
        <w:tblW w:w="5000" w:type="pct"/>
        <w:tblCellMar>
          <w:left w:w="80" w:type="dxa"/>
          <w:right w:w="80" w:type="dxa"/>
        </w:tblCellMar>
        <w:tblLook w:val="0000" w:firstRow="0" w:lastRow="0" w:firstColumn="0" w:lastColumn="0" w:noHBand="0" w:noVBand="0"/>
        <w:tblCaption w:val="RACI Chart"/>
        <w:tblDescription w:val="This table lists the RACI Chart for the GenISIS v2.0 project."/>
      </w:tblPr>
      <w:tblGrid>
        <w:gridCol w:w="2329"/>
        <w:gridCol w:w="5057"/>
        <w:gridCol w:w="2134"/>
      </w:tblGrid>
      <w:tr w:rsidR="006833FF" w:rsidRPr="00151E8F" w:rsidTr="00981721">
        <w:trPr>
          <w:cantSplit/>
          <w:trHeight w:val="417"/>
          <w:tblHeader/>
        </w:trPr>
        <w:tc>
          <w:tcPr>
            <w:tcW w:w="1223" w:type="pct"/>
            <w:tcBorders>
              <w:top w:val="single" w:sz="6" w:space="0" w:color="auto"/>
              <w:left w:val="single" w:sz="6" w:space="0" w:color="auto"/>
              <w:bottom w:val="single" w:sz="6" w:space="0" w:color="auto"/>
              <w:right w:val="single" w:sz="6" w:space="0" w:color="auto"/>
            </w:tcBorders>
            <w:shd w:val="clear" w:color="auto" w:fill="F2F2F2"/>
          </w:tcPr>
          <w:p w:rsidR="006833FF" w:rsidRPr="00151E8F" w:rsidRDefault="006833FF" w:rsidP="006833FF">
            <w:pPr>
              <w:spacing w:before="60" w:after="60"/>
              <w:rPr>
                <w:rFonts w:ascii="Arial" w:hAnsi="Arial" w:cs="Arial"/>
                <w:b/>
                <w:color w:val="auto"/>
                <w:szCs w:val="22"/>
              </w:rPr>
            </w:pPr>
            <w:r w:rsidRPr="00151E8F">
              <w:rPr>
                <w:rFonts w:ascii="Arial" w:hAnsi="Arial" w:cs="Arial"/>
                <w:b/>
                <w:color w:val="auto"/>
                <w:szCs w:val="22"/>
              </w:rPr>
              <w:t>Role</w:t>
            </w:r>
          </w:p>
        </w:tc>
        <w:tc>
          <w:tcPr>
            <w:tcW w:w="2656" w:type="pct"/>
            <w:tcBorders>
              <w:top w:val="single" w:sz="6" w:space="0" w:color="auto"/>
              <w:left w:val="single" w:sz="6" w:space="0" w:color="auto"/>
              <w:bottom w:val="single" w:sz="6" w:space="0" w:color="auto"/>
              <w:right w:val="single" w:sz="6" w:space="0" w:color="auto"/>
            </w:tcBorders>
            <w:shd w:val="clear" w:color="auto" w:fill="F2F2F2"/>
          </w:tcPr>
          <w:p w:rsidR="006833FF" w:rsidRPr="00151E8F" w:rsidRDefault="006833FF" w:rsidP="006833FF">
            <w:pPr>
              <w:spacing w:before="60" w:after="60"/>
              <w:rPr>
                <w:rFonts w:ascii="Arial" w:hAnsi="Arial" w:cs="Arial"/>
                <w:b/>
                <w:color w:val="auto"/>
                <w:szCs w:val="22"/>
              </w:rPr>
            </w:pPr>
            <w:r w:rsidRPr="00151E8F">
              <w:rPr>
                <w:rFonts w:ascii="Arial" w:hAnsi="Arial" w:cs="Arial"/>
                <w:b/>
                <w:color w:val="auto"/>
                <w:szCs w:val="22"/>
              </w:rPr>
              <w:t>Responsibilities</w:t>
            </w:r>
          </w:p>
        </w:tc>
        <w:tc>
          <w:tcPr>
            <w:tcW w:w="1121" w:type="pct"/>
            <w:tcBorders>
              <w:top w:val="single" w:sz="6" w:space="0" w:color="auto"/>
              <w:left w:val="single" w:sz="6" w:space="0" w:color="auto"/>
              <w:bottom w:val="single" w:sz="6" w:space="0" w:color="auto"/>
              <w:right w:val="single" w:sz="6" w:space="0" w:color="auto"/>
            </w:tcBorders>
            <w:shd w:val="clear" w:color="auto" w:fill="F2F2F2"/>
          </w:tcPr>
          <w:p w:rsidR="006833FF" w:rsidRPr="00151E8F" w:rsidRDefault="006833FF" w:rsidP="006833FF">
            <w:pPr>
              <w:spacing w:before="60" w:after="60"/>
              <w:rPr>
                <w:rFonts w:ascii="Arial" w:hAnsi="Arial" w:cs="Arial"/>
                <w:b/>
                <w:color w:val="auto"/>
                <w:szCs w:val="22"/>
              </w:rPr>
            </w:pPr>
            <w:r w:rsidRPr="00151E8F">
              <w:rPr>
                <w:rFonts w:ascii="Arial" w:hAnsi="Arial" w:cs="Arial"/>
                <w:b/>
                <w:color w:val="auto"/>
                <w:szCs w:val="22"/>
              </w:rPr>
              <w:t>Filled By Project Team Member</w:t>
            </w:r>
          </w:p>
        </w:tc>
      </w:tr>
      <w:tr w:rsidR="006833FF" w:rsidRPr="00151E8F" w:rsidTr="00945B0C">
        <w:trPr>
          <w:cantSplit/>
          <w:trHeight w:val="402"/>
        </w:trPr>
        <w:tc>
          <w:tcPr>
            <w:tcW w:w="1223"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t>VA Project Manager</w:t>
            </w:r>
          </w:p>
        </w:tc>
        <w:tc>
          <w:tcPr>
            <w:tcW w:w="2656"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t xml:space="preserve">Overall </w:t>
            </w:r>
            <w:r w:rsidR="00EE1BC0">
              <w:rPr>
                <w:rFonts w:ascii="Arial" w:hAnsi="Arial" w:cs="Arial"/>
                <w:color w:val="auto"/>
                <w:szCs w:val="20"/>
              </w:rPr>
              <w:t>Genisis</w:t>
            </w:r>
            <w:r w:rsidR="00976A00">
              <w:rPr>
                <w:rFonts w:ascii="Arial" w:hAnsi="Arial" w:cs="Arial"/>
                <w:color w:val="auto"/>
                <w:szCs w:val="20"/>
              </w:rPr>
              <w:t>2</w:t>
            </w:r>
            <w:r w:rsidRPr="00151E8F">
              <w:rPr>
                <w:rFonts w:ascii="Arial" w:hAnsi="Arial" w:cs="Arial"/>
                <w:color w:val="auto"/>
                <w:szCs w:val="20"/>
              </w:rPr>
              <w:t xml:space="preserve"> Project Manager duties.</w:t>
            </w:r>
          </w:p>
        </w:tc>
        <w:tc>
          <w:tcPr>
            <w:tcW w:w="1121"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t>Katie Thomas</w:t>
            </w:r>
          </w:p>
        </w:tc>
      </w:tr>
      <w:tr w:rsidR="006833FF" w:rsidRPr="00151E8F" w:rsidTr="00945B0C">
        <w:trPr>
          <w:cantSplit/>
          <w:trHeight w:val="402"/>
        </w:trPr>
        <w:tc>
          <w:tcPr>
            <w:tcW w:w="1223"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t>IPT Chairs and Co-Chair</w:t>
            </w:r>
          </w:p>
        </w:tc>
        <w:tc>
          <w:tcPr>
            <w:tcW w:w="2656"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numPr>
                <w:ilvl w:val="0"/>
                <w:numId w:val="32"/>
              </w:numPr>
              <w:spacing w:before="60" w:after="60"/>
              <w:rPr>
                <w:rFonts w:ascii="Arial" w:hAnsi="Arial" w:cs="Arial"/>
                <w:color w:val="auto"/>
                <w:szCs w:val="20"/>
              </w:rPr>
            </w:pPr>
            <w:r w:rsidRPr="00151E8F">
              <w:rPr>
                <w:rFonts w:ascii="Arial" w:hAnsi="Arial" w:cs="Arial"/>
                <w:color w:val="auto"/>
                <w:szCs w:val="20"/>
              </w:rPr>
              <w:t>Ensure project reporting.</w:t>
            </w:r>
          </w:p>
          <w:p w:rsidR="006833FF" w:rsidRPr="00151E8F" w:rsidRDefault="006833FF" w:rsidP="006833FF">
            <w:pPr>
              <w:numPr>
                <w:ilvl w:val="0"/>
                <w:numId w:val="32"/>
              </w:numPr>
              <w:spacing w:before="60" w:after="60"/>
              <w:rPr>
                <w:rFonts w:ascii="Arial" w:hAnsi="Arial" w:cs="Arial"/>
                <w:color w:val="auto"/>
                <w:szCs w:val="20"/>
              </w:rPr>
            </w:pPr>
            <w:r w:rsidRPr="00151E8F">
              <w:rPr>
                <w:rFonts w:ascii="Arial" w:hAnsi="Arial" w:cs="Arial"/>
                <w:color w:val="auto"/>
                <w:szCs w:val="20"/>
              </w:rPr>
              <w:t>Ensure senior leadership support and continuity.</w:t>
            </w:r>
          </w:p>
          <w:p w:rsidR="006833FF" w:rsidRPr="00151E8F" w:rsidRDefault="006833FF" w:rsidP="006833FF">
            <w:pPr>
              <w:numPr>
                <w:ilvl w:val="0"/>
                <w:numId w:val="32"/>
              </w:numPr>
              <w:spacing w:before="60" w:after="60"/>
              <w:rPr>
                <w:rFonts w:ascii="Arial" w:hAnsi="Arial" w:cs="Arial"/>
                <w:color w:val="auto"/>
                <w:szCs w:val="20"/>
              </w:rPr>
            </w:pPr>
            <w:r w:rsidRPr="00151E8F">
              <w:rPr>
                <w:rFonts w:ascii="Arial" w:hAnsi="Arial" w:cs="Arial"/>
                <w:color w:val="auto"/>
                <w:szCs w:val="20"/>
              </w:rPr>
              <w:t>Provide oversight to development of the IPT.</w:t>
            </w:r>
          </w:p>
          <w:p w:rsidR="006833FF" w:rsidRPr="00151E8F" w:rsidRDefault="006833FF" w:rsidP="006833FF">
            <w:pPr>
              <w:numPr>
                <w:ilvl w:val="0"/>
                <w:numId w:val="32"/>
              </w:numPr>
              <w:spacing w:before="60" w:after="60"/>
              <w:rPr>
                <w:rFonts w:ascii="Arial" w:hAnsi="Arial" w:cs="Arial"/>
                <w:color w:val="auto"/>
                <w:szCs w:val="20"/>
              </w:rPr>
            </w:pPr>
            <w:r w:rsidRPr="00151E8F">
              <w:rPr>
                <w:rFonts w:ascii="Arial" w:hAnsi="Arial" w:cs="Arial"/>
                <w:color w:val="auto"/>
                <w:szCs w:val="20"/>
              </w:rPr>
              <w:t>In the event the IPT is unable to achieve consensus, act according to the voting mechanisms described above.</w:t>
            </w:r>
          </w:p>
        </w:tc>
        <w:tc>
          <w:tcPr>
            <w:tcW w:w="1121"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t xml:space="preserve">Dr. James </w:t>
            </w:r>
            <w:proofErr w:type="spellStart"/>
            <w:r w:rsidRPr="00151E8F">
              <w:rPr>
                <w:rFonts w:ascii="Arial" w:hAnsi="Arial" w:cs="Arial"/>
                <w:color w:val="auto"/>
                <w:szCs w:val="20"/>
              </w:rPr>
              <w:t>Breeling</w:t>
            </w:r>
            <w:proofErr w:type="spellEnd"/>
          </w:p>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t>Kimberly Nix</w:t>
            </w:r>
          </w:p>
        </w:tc>
      </w:tr>
      <w:tr w:rsidR="006833FF" w:rsidRPr="00151E8F" w:rsidTr="00945B0C">
        <w:trPr>
          <w:cantSplit/>
          <w:trHeight w:val="402"/>
        </w:trPr>
        <w:tc>
          <w:tcPr>
            <w:tcW w:w="1223"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t>IPT Core Members</w:t>
            </w:r>
          </w:p>
        </w:tc>
        <w:tc>
          <w:tcPr>
            <w:tcW w:w="2656"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numPr>
                <w:ilvl w:val="0"/>
                <w:numId w:val="33"/>
              </w:numPr>
              <w:spacing w:before="60" w:after="60"/>
              <w:rPr>
                <w:rFonts w:ascii="Arial" w:hAnsi="Arial" w:cs="Arial"/>
                <w:color w:val="auto"/>
                <w:szCs w:val="20"/>
              </w:rPr>
            </w:pPr>
            <w:r w:rsidRPr="00151E8F">
              <w:rPr>
                <w:rFonts w:ascii="Arial" w:hAnsi="Arial" w:cs="Arial"/>
                <w:color w:val="auto"/>
                <w:szCs w:val="20"/>
              </w:rPr>
              <w:t>Being fully empowered, serve as principal liaison between the organization represented and the Appeals Modernization. Be prepared to provide expertise about your organization and have the authority to commit resources and make decisions.</w:t>
            </w:r>
          </w:p>
          <w:p w:rsidR="006833FF" w:rsidRPr="00151E8F" w:rsidRDefault="006833FF" w:rsidP="006833FF">
            <w:pPr>
              <w:numPr>
                <w:ilvl w:val="0"/>
                <w:numId w:val="33"/>
              </w:numPr>
              <w:spacing w:before="60" w:after="60"/>
              <w:rPr>
                <w:rFonts w:ascii="Arial" w:hAnsi="Arial" w:cs="Arial"/>
                <w:color w:val="auto"/>
                <w:szCs w:val="20"/>
              </w:rPr>
            </w:pPr>
            <w:r w:rsidRPr="00151E8F">
              <w:rPr>
                <w:rFonts w:ascii="Arial" w:hAnsi="Arial" w:cs="Arial"/>
                <w:color w:val="auto"/>
                <w:szCs w:val="20"/>
              </w:rPr>
              <w:t>Implement the project according to the schedule and within the constraints of the budget assigned.</w:t>
            </w:r>
          </w:p>
          <w:p w:rsidR="006833FF" w:rsidRPr="00151E8F" w:rsidRDefault="006833FF" w:rsidP="006833FF">
            <w:pPr>
              <w:numPr>
                <w:ilvl w:val="0"/>
                <w:numId w:val="33"/>
              </w:numPr>
              <w:spacing w:before="60" w:after="60"/>
              <w:rPr>
                <w:rFonts w:ascii="Arial" w:hAnsi="Arial" w:cs="Arial"/>
                <w:color w:val="auto"/>
                <w:szCs w:val="20"/>
              </w:rPr>
            </w:pPr>
            <w:r w:rsidRPr="00151E8F">
              <w:rPr>
                <w:rFonts w:ascii="Arial" w:hAnsi="Arial" w:cs="Arial"/>
                <w:color w:val="auto"/>
                <w:szCs w:val="20"/>
              </w:rPr>
              <w:t>Be engaged and willing partners to support the project.</w:t>
            </w:r>
          </w:p>
          <w:p w:rsidR="006833FF" w:rsidRPr="00151E8F" w:rsidRDefault="006833FF" w:rsidP="006833FF">
            <w:pPr>
              <w:numPr>
                <w:ilvl w:val="0"/>
                <w:numId w:val="33"/>
              </w:numPr>
              <w:spacing w:before="60" w:after="60"/>
              <w:rPr>
                <w:rFonts w:ascii="Arial" w:hAnsi="Arial" w:cs="Arial"/>
                <w:color w:val="auto"/>
                <w:szCs w:val="20"/>
              </w:rPr>
            </w:pPr>
            <w:r w:rsidRPr="00151E8F">
              <w:rPr>
                <w:rFonts w:ascii="Arial" w:hAnsi="Arial" w:cs="Arial"/>
                <w:color w:val="auto"/>
                <w:szCs w:val="20"/>
              </w:rPr>
              <w:t>Attend all meetings, lockdowns, and summits.</w:t>
            </w:r>
          </w:p>
          <w:p w:rsidR="006833FF" w:rsidRPr="00151E8F" w:rsidRDefault="006833FF" w:rsidP="006833FF">
            <w:pPr>
              <w:numPr>
                <w:ilvl w:val="0"/>
                <w:numId w:val="33"/>
              </w:numPr>
              <w:spacing w:before="60" w:after="60"/>
              <w:rPr>
                <w:rFonts w:ascii="Arial" w:hAnsi="Arial" w:cs="Arial"/>
                <w:color w:val="auto"/>
                <w:szCs w:val="20"/>
              </w:rPr>
            </w:pPr>
            <w:r w:rsidRPr="00151E8F">
              <w:rPr>
                <w:rFonts w:ascii="Arial" w:hAnsi="Arial" w:cs="Arial"/>
                <w:color w:val="auto"/>
                <w:szCs w:val="20"/>
              </w:rPr>
              <w:t>Provide input, review, and approve all documents and the overall project plan.</w:t>
            </w:r>
          </w:p>
          <w:p w:rsidR="006833FF" w:rsidRPr="00151E8F" w:rsidRDefault="006833FF" w:rsidP="006833FF">
            <w:pPr>
              <w:numPr>
                <w:ilvl w:val="0"/>
                <w:numId w:val="33"/>
              </w:numPr>
              <w:spacing w:before="60" w:after="60"/>
              <w:rPr>
                <w:rFonts w:ascii="Arial" w:hAnsi="Arial" w:cs="Arial"/>
                <w:color w:val="auto"/>
                <w:szCs w:val="20"/>
              </w:rPr>
            </w:pPr>
            <w:r w:rsidRPr="00151E8F">
              <w:rPr>
                <w:rFonts w:ascii="Arial" w:hAnsi="Arial" w:cs="Arial"/>
                <w:color w:val="auto"/>
                <w:szCs w:val="20"/>
              </w:rPr>
              <w:t>Provide sub-group staffing and teams to develop work products and deliverables.</w:t>
            </w:r>
          </w:p>
          <w:p w:rsidR="006833FF" w:rsidRPr="00151E8F" w:rsidRDefault="006833FF" w:rsidP="006833FF">
            <w:pPr>
              <w:numPr>
                <w:ilvl w:val="0"/>
                <w:numId w:val="33"/>
              </w:numPr>
              <w:spacing w:before="60" w:after="60"/>
              <w:rPr>
                <w:rFonts w:ascii="Arial" w:hAnsi="Arial" w:cs="Arial"/>
                <w:color w:val="auto"/>
                <w:szCs w:val="20"/>
              </w:rPr>
            </w:pPr>
            <w:r w:rsidRPr="00151E8F">
              <w:rPr>
                <w:rFonts w:ascii="Arial" w:hAnsi="Arial" w:cs="Arial"/>
                <w:color w:val="auto"/>
                <w:szCs w:val="20"/>
              </w:rPr>
              <w:t>Identify required organizational processes for review of all documents and decisions. Escort Appeals Modernization documentation through these processes to facilitate timely execution for decision making.</w:t>
            </w:r>
          </w:p>
          <w:p w:rsidR="006833FF" w:rsidRPr="00151E8F" w:rsidRDefault="006833FF" w:rsidP="006833FF">
            <w:pPr>
              <w:numPr>
                <w:ilvl w:val="0"/>
                <w:numId w:val="33"/>
              </w:numPr>
              <w:spacing w:before="60" w:after="60"/>
              <w:rPr>
                <w:rFonts w:ascii="Arial" w:hAnsi="Arial" w:cs="Arial"/>
                <w:color w:val="auto"/>
                <w:szCs w:val="20"/>
              </w:rPr>
            </w:pPr>
            <w:r w:rsidRPr="00151E8F">
              <w:rPr>
                <w:rFonts w:ascii="Arial" w:hAnsi="Arial" w:cs="Arial"/>
                <w:color w:val="auto"/>
                <w:szCs w:val="20"/>
              </w:rPr>
              <w:t>Report progress to senior leadership.</w:t>
            </w:r>
          </w:p>
        </w:tc>
        <w:tc>
          <w:tcPr>
            <w:tcW w:w="1121"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t>See IPT Charter for membership</w:t>
            </w:r>
          </w:p>
        </w:tc>
      </w:tr>
      <w:tr w:rsidR="006833FF" w:rsidRPr="00151E8F" w:rsidTr="00945B0C">
        <w:trPr>
          <w:cantSplit/>
          <w:trHeight w:val="402"/>
        </w:trPr>
        <w:tc>
          <w:tcPr>
            <w:tcW w:w="1223" w:type="pct"/>
            <w:tcBorders>
              <w:top w:val="single" w:sz="6" w:space="0" w:color="auto"/>
              <w:left w:val="single" w:sz="6" w:space="0" w:color="auto"/>
              <w:bottom w:val="single" w:sz="6" w:space="0" w:color="auto"/>
              <w:right w:val="single" w:sz="6" w:space="0" w:color="auto"/>
            </w:tcBorders>
          </w:tcPr>
          <w:p w:rsidR="006833FF" w:rsidRPr="00151E8F" w:rsidRDefault="008B3E6B" w:rsidP="006833FF">
            <w:pPr>
              <w:spacing w:before="60" w:after="60"/>
              <w:rPr>
                <w:rFonts w:ascii="Arial" w:hAnsi="Arial" w:cs="Arial"/>
                <w:color w:val="auto"/>
                <w:szCs w:val="20"/>
              </w:rPr>
            </w:pPr>
            <w:r w:rsidRPr="00151E8F">
              <w:rPr>
                <w:rFonts w:ascii="Arial" w:hAnsi="Arial" w:cs="Arial"/>
                <w:color w:val="auto"/>
                <w:szCs w:val="20"/>
              </w:rPr>
              <w:t>ProSphere</w:t>
            </w:r>
            <w:r w:rsidR="006833FF" w:rsidRPr="00151E8F">
              <w:rPr>
                <w:rFonts w:ascii="Arial" w:hAnsi="Arial" w:cs="Arial"/>
                <w:color w:val="auto"/>
                <w:szCs w:val="20"/>
              </w:rPr>
              <w:t xml:space="preserve"> Project Support </w:t>
            </w:r>
          </w:p>
        </w:tc>
        <w:tc>
          <w:tcPr>
            <w:tcW w:w="2656"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t>Provide program level support to VA PM through Milestone 1 Provisioning Project Management Accountability System (PMAS) phases and/or Critical Decision 1 of the Veteran Focused Integration Process (VIP). Also provide standard PMO services for the length of their task order.</w:t>
            </w:r>
          </w:p>
        </w:tc>
        <w:tc>
          <w:tcPr>
            <w:tcW w:w="1121" w:type="pct"/>
            <w:tcBorders>
              <w:top w:val="single" w:sz="6" w:space="0" w:color="auto"/>
              <w:left w:val="single" w:sz="6" w:space="0" w:color="auto"/>
              <w:bottom w:val="single" w:sz="6" w:space="0" w:color="auto"/>
              <w:right w:val="single" w:sz="6" w:space="0" w:color="auto"/>
            </w:tcBorders>
          </w:tcPr>
          <w:p w:rsidR="006833FF" w:rsidRPr="00151E8F" w:rsidRDefault="008B3E6B" w:rsidP="006833FF">
            <w:pPr>
              <w:spacing w:before="60" w:after="60"/>
              <w:rPr>
                <w:rFonts w:ascii="Arial" w:hAnsi="Arial" w:cs="Arial"/>
                <w:color w:val="auto"/>
                <w:szCs w:val="20"/>
              </w:rPr>
            </w:pPr>
            <w:proofErr w:type="spellStart"/>
            <w:r w:rsidRPr="00151E8F">
              <w:rPr>
                <w:rFonts w:ascii="Arial" w:hAnsi="Arial" w:cs="Arial"/>
                <w:color w:val="auto"/>
                <w:szCs w:val="20"/>
              </w:rPr>
              <w:t>Prosphere</w:t>
            </w:r>
            <w:proofErr w:type="spellEnd"/>
            <w:r w:rsidRPr="00151E8F">
              <w:rPr>
                <w:rFonts w:ascii="Arial" w:hAnsi="Arial" w:cs="Arial"/>
                <w:color w:val="auto"/>
                <w:szCs w:val="20"/>
              </w:rPr>
              <w:t xml:space="preserve"> </w:t>
            </w:r>
            <w:r w:rsidR="006833FF" w:rsidRPr="00151E8F">
              <w:rPr>
                <w:rFonts w:ascii="Arial" w:hAnsi="Arial" w:cs="Arial"/>
                <w:color w:val="auto"/>
                <w:szCs w:val="20"/>
              </w:rPr>
              <w:t>IPT Support Team Members</w:t>
            </w:r>
          </w:p>
        </w:tc>
      </w:tr>
      <w:tr w:rsidR="006833FF" w:rsidRPr="006833FF" w:rsidTr="00945B0C">
        <w:trPr>
          <w:cantSplit/>
          <w:trHeight w:val="402"/>
        </w:trPr>
        <w:tc>
          <w:tcPr>
            <w:tcW w:w="1223"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lastRenderedPageBreak/>
              <w:t xml:space="preserve">ProSphere Tek Project Support </w:t>
            </w:r>
          </w:p>
        </w:tc>
        <w:tc>
          <w:tcPr>
            <w:tcW w:w="2656" w:type="pct"/>
            <w:tcBorders>
              <w:top w:val="single" w:sz="6" w:space="0" w:color="auto"/>
              <w:left w:val="single" w:sz="6" w:space="0" w:color="auto"/>
              <w:bottom w:val="single" w:sz="6" w:space="0" w:color="auto"/>
              <w:right w:val="single" w:sz="6" w:space="0" w:color="auto"/>
            </w:tcBorders>
          </w:tcPr>
          <w:p w:rsidR="006833FF" w:rsidRPr="00151E8F" w:rsidRDefault="006833FF" w:rsidP="007017C3">
            <w:pPr>
              <w:spacing w:before="60" w:after="60"/>
              <w:rPr>
                <w:rFonts w:ascii="Arial" w:hAnsi="Arial" w:cs="Arial"/>
                <w:color w:val="auto"/>
                <w:szCs w:val="20"/>
              </w:rPr>
            </w:pPr>
            <w:r w:rsidRPr="00151E8F">
              <w:rPr>
                <w:rFonts w:ascii="Arial" w:hAnsi="Arial" w:cs="Arial"/>
                <w:color w:val="auto"/>
                <w:szCs w:val="20"/>
              </w:rPr>
              <w:t xml:space="preserve">Provide program level support to VA PM through Milestone 1 PMAS phases and/or Critical Decision 1 of the VIP.  Provide acquisition, budgeting, and PWS support.  Transition to cover traditional PMO support once </w:t>
            </w:r>
            <w:proofErr w:type="spellStart"/>
            <w:r w:rsidRPr="00151E8F">
              <w:rPr>
                <w:rFonts w:ascii="Arial" w:hAnsi="Arial" w:cs="Arial"/>
                <w:color w:val="auto"/>
                <w:szCs w:val="20"/>
              </w:rPr>
              <w:t>Engility</w:t>
            </w:r>
            <w:proofErr w:type="spellEnd"/>
            <w:r w:rsidRPr="00151E8F">
              <w:rPr>
                <w:rFonts w:ascii="Arial" w:hAnsi="Arial" w:cs="Arial"/>
                <w:color w:val="auto"/>
                <w:szCs w:val="20"/>
              </w:rPr>
              <w:t xml:space="preserve"> leaves project,</w:t>
            </w:r>
          </w:p>
        </w:tc>
        <w:tc>
          <w:tcPr>
            <w:tcW w:w="1121" w:type="pct"/>
            <w:tcBorders>
              <w:top w:val="single" w:sz="6" w:space="0" w:color="auto"/>
              <w:left w:val="single" w:sz="6" w:space="0" w:color="auto"/>
              <w:bottom w:val="single" w:sz="6" w:space="0" w:color="auto"/>
              <w:right w:val="single" w:sz="6" w:space="0" w:color="auto"/>
            </w:tcBorders>
          </w:tcPr>
          <w:p w:rsidR="006833FF" w:rsidRPr="008B3E6B" w:rsidRDefault="006833FF" w:rsidP="006833FF">
            <w:pPr>
              <w:spacing w:before="60" w:after="60"/>
              <w:rPr>
                <w:rFonts w:ascii="Arial" w:hAnsi="Arial" w:cs="Arial"/>
                <w:color w:val="auto"/>
                <w:szCs w:val="20"/>
              </w:rPr>
            </w:pPr>
            <w:r w:rsidRPr="00151E8F">
              <w:rPr>
                <w:rFonts w:ascii="Arial" w:hAnsi="Arial" w:cs="Arial"/>
                <w:color w:val="auto"/>
                <w:szCs w:val="20"/>
              </w:rPr>
              <w:t>ProSphere Tek IPT Support Team Members</w:t>
            </w:r>
          </w:p>
        </w:tc>
      </w:tr>
    </w:tbl>
    <w:p w:rsidR="006833FF" w:rsidRPr="006833FF" w:rsidRDefault="006833FF" w:rsidP="006833FF">
      <w:pPr>
        <w:pStyle w:val="BodyText"/>
      </w:pPr>
    </w:p>
    <w:p w:rsidR="00A94BC8" w:rsidRDefault="00A94BC8" w:rsidP="00A94BC8">
      <w:pPr>
        <w:pStyle w:val="Heading1"/>
      </w:pPr>
      <w:bookmarkStart w:id="11" w:name="_Toc485322797"/>
      <w:r>
        <w:lastRenderedPageBreak/>
        <w:t>Recurring Contracts, Licenses, and Warranties</w:t>
      </w:r>
      <w:bookmarkEnd w:id="11"/>
    </w:p>
    <w:p w:rsidR="00C5111A" w:rsidRPr="00C5111A" w:rsidRDefault="00C84BD0" w:rsidP="00C5111A">
      <w:pPr>
        <w:spacing w:before="120" w:after="120"/>
        <w:rPr>
          <w:color w:val="auto"/>
          <w:sz w:val="24"/>
          <w:szCs w:val="20"/>
        </w:rPr>
      </w:pPr>
      <w:proofErr w:type="gramStart"/>
      <w:r>
        <w:rPr>
          <w:color w:val="auto"/>
          <w:sz w:val="24"/>
          <w:szCs w:val="20"/>
        </w:rPr>
        <w:t>Table 4</w:t>
      </w:r>
      <w:r w:rsidR="00C5111A" w:rsidRPr="00C5111A">
        <w:rPr>
          <w:color w:val="auto"/>
          <w:sz w:val="24"/>
          <w:szCs w:val="20"/>
        </w:rPr>
        <w:t xml:space="preserve"> list</w:t>
      </w:r>
      <w:proofErr w:type="gramEnd"/>
      <w:r w:rsidR="00C5111A" w:rsidRPr="00C5111A">
        <w:rPr>
          <w:color w:val="auto"/>
          <w:sz w:val="24"/>
          <w:szCs w:val="20"/>
        </w:rPr>
        <w:t xml:space="preserve"> the known contracts at this time. In the future, other contracts may be added, modified, or deleted by the </w:t>
      </w:r>
      <w:r w:rsidR="00EE1BC0">
        <w:rPr>
          <w:color w:val="auto"/>
          <w:sz w:val="24"/>
          <w:szCs w:val="20"/>
        </w:rPr>
        <w:t>Genisis</w:t>
      </w:r>
      <w:r w:rsidR="00976A00">
        <w:rPr>
          <w:color w:val="auto"/>
          <w:sz w:val="24"/>
          <w:szCs w:val="20"/>
        </w:rPr>
        <w:t>2</w:t>
      </w:r>
      <w:r w:rsidR="00C5111A" w:rsidRPr="00C5111A">
        <w:rPr>
          <w:color w:val="auto"/>
          <w:sz w:val="24"/>
          <w:szCs w:val="20"/>
        </w:rPr>
        <w:t xml:space="preserve"> Management team. </w:t>
      </w:r>
    </w:p>
    <w:p w:rsidR="00C5111A" w:rsidRPr="00C5111A" w:rsidRDefault="00C5111A" w:rsidP="00C5111A">
      <w:pPr>
        <w:keepNext/>
        <w:keepLines/>
        <w:spacing w:before="240" w:after="60"/>
        <w:jc w:val="center"/>
        <w:rPr>
          <w:rFonts w:ascii="Arial" w:hAnsi="Arial" w:cs="Arial"/>
          <w:b/>
          <w:bCs/>
          <w:sz w:val="20"/>
          <w:szCs w:val="20"/>
        </w:rPr>
      </w:pPr>
      <w:r w:rsidRPr="00C5111A">
        <w:rPr>
          <w:rFonts w:ascii="Arial" w:hAnsi="Arial" w:cs="Arial"/>
          <w:b/>
          <w:bCs/>
          <w:sz w:val="20"/>
          <w:szCs w:val="20"/>
        </w:rPr>
        <w:t xml:space="preserve">Table </w:t>
      </w:r>
      <w:r w:rsidRPr="00C5111A">
        <w:rPr>
          <w:rFonts w:ascii="Arial" w:hAnsi="Arial" w:cs="Arial"/>
          <w:b/>
          <w:bCs/>
          <w:sz w:val="20"/>
          <w:szCs w:val="20"/>
        </w:rPr>
        <w:fldChar w:fldCharType="begin"/>
      </w:r>
      <w:r w:rsidRPr="00C5111A">
        <w:rPr>
          <w:rFonts w:ascii="Arial" w:hAnsi="Arial" w:cs="Arial"/>
          <w:b/>
          <w:bCs/>
          <w:sz w:val="20"/>
          <w:szCs w:val="20"/>
        </w:rPr>
        <w:instrText xml:space="preserve"> SEQ Table \* ARABIC </w:instrText>
      </w:r>
      <w:r w:rsidRPr="00C5111A">
        <w:rPr>
          <w:rFonts w:ascii="Arial" w:hAnsi="Arial" w:cs="Arial"/>
          <w:b/>
          <w:bCs/>
          <w:sz w:val="20"/>
          <w:szCs w:val="20"/>
        </w:rPr>
        <w:fldChar w:fldCharType="separate"/>
      </w:r>
      <w:r w:rsidRPr="00C5111A">
        <w:rPr>
          <w:rFonts w:ascii="Arial" w:hAnsi="Arial" w:cs="Arial"/>
          <w:b/>
          <w:bCs/>
          <w:noProof/>
          <w:sz w:val="20"/>
          <w:szCs w:val="20"/>
        </w:rPr>
        <w:t>4</w:t>
      </w:r>
      <w:r w:rsidRPr="00C5111A">
        <w:rPr>
          <w:rFonts w:ascii="Arial" w:hAnsi="Arial" w:cs="Arial"/>
          <w:b/>
          <w:bCs/>
          <w:noProof/>
          <w:sz w:val="20"/>
          <w:szCs w:val="20"/>
        </w:rPr>
        <w:fldChar w:fldCharType="end"/>
      </w:r>
      <w:r w:rsidRPr="00C5111A">
        <w:rPr>
          <w:rFonts w:ascii="Arial" w:hAnsi="Arial" w:cs="Arial"/>
          <w:b/>
          <w:bCs/>
          <w:sz w:val="20"/>
          <w:szCs w:val="20"/>
        </w:rPr>
        <w:t>: Contracts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ontracts"/>
        <w:tblDescription w:val="Product/program/project associated recurring contracts (hardware maintenance agreements, software licenses, IT support contracts, recurring telecommunication charges (voice and/or data), facility lease agreements, etc.) pertaining to the product, its dependencies, and their periods of performance as part of the initial transition to operations and maintenance, including the expected ongoing acquisitions needed to support the continued use of the final product throughout its lifetime).   Identify who within SDE will be responsible for any future acquisitions. "/>
      </w:tblPr>
      <w:tblGrid>
        <w:gridCol w:w="3639"/>
        <w:gridCol w:w="5937"/>
      </w:tblGrid>
      <w:tr w:rsidR="00C5111A" w:rsidRPr="00C5111A" w:rsidTr="00C84BD0">
        <w:trPr>
          <w:cantSplit/>
          <w:tblHeader/>
        </w:trPr>
        <w:tc>
          <w:tcPr>
            <w:tcW w:w="1900" w:type="pct"/>
            <w:tcBorders>
              <w:bottom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2"/>
              </w:rPr>
            </w:pPr>
            <w:r w:rsidRPr="00C5111A">
              <w:rPr>
                <w:rFonts w:ascii="Arial" w:hAnsi="Arial" w:cs="Arial"/>
                <w:b/>
                <w:color w:val="auto"/>
                <w:szCs w:val="22"/>
              </w:rPr>
              <w:t>Agreement</w:t>
            </w:r>
          </w:p>
        </w:tc>
        <w:tc>
          <w:tcPr>
            <w:tcW w:w="3100" w:type="pct"/>
            <w:shd w:val="clear" w:color="auto" w:fill="F2F2F2" w:themeFill="background1" w:themeFillShade="F2"/>
          </w:tcPr>
          <w:p w:rsidR="00C5111A" w:rsidRPr="00C5111A" w:rsidRDefault="00C5111A" w:rsidP="00C5111A">
            <w:pPr>
              <w:spacing w:before="60" w:after="60"/>
              <w:rPr>
                <w:rFonts w:ascii="Arial" w:hAnsi="Arial" w:cs="Arial"/>
                <w:b/>
                <w:color w:val="auto"/>
                <w:szCs w:val="22"/>
              </w:rPr>
            </w:pPr>
            <w:r w:rsidRPr="00C5111A">
              <w:rPr>
                <w:rFonts w:ascii="Arial" w:hAnsi="Arial" w:cs="Arial"/>
                <w:b/>
                <w:color w:val="auto"/>
                <w:szCs w:val="22"/>
              </w:rPr>
              <w:t>Details</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000000"/>
                <w:szCs w:val="22"/>
              </w:rPr>
              <w:t xml:space="preserve">SLAM 15-176 GIS (H00) Enterprise Operations Systems Admin Support for </w:t>
            </w:r>
            <w:proofErr w:type="spellStart"/>
            <w:r w:rsidRPr="00C5111A">
              <w:rPr>
                <w:rFonts w:ascii="Arial" w:hAnsi="Arial" w:cs="Arial"/>
                <w:color w:val="000000"/>
                <w:szCs w:val="22"/>
              </w:rPr>
              <w:t>Gen</w:t>
            </w:r>
            <w:r w:rsidR="00911696">
              <w:rPr>
                <w:rFonts w:ascii="Arial" w:hAnsi="Arial" w:cs="Arial"/>
                <w:color w:val="000000"/>
                <w:szCs w:val="22"/>
              </w:rPr>
              <w:t>isis</w:t>
            </w:r>
            <w:proofErr w:type="spellEnd"/>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Enterprise Operations</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1 May 2015 – 30 April 2016</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Annual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$195,705</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TBD</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Current COTR name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Greg Muldoon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transfer planned</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tcBorders>
              <w:bottom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Comments or Description </w:t>
            </w:r>
          </w:p>
        </w:tc>
        <w:tc>
          <w:tcPr>
            <w:tcW w:w="3100" w:type="pct"/>
            <w:tcBorders>
              <w:bottom w:val="single" w:sz="18"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top w:val="single" w:sz="18" w:space="0" w:color="auto"/>
              <w:left w:val="single" w:sz="4" w:space="0" w:color="auto"/>
              <w:bottom w:val="single" w:sz="4"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tcBorders>
              <w:top w:val="single" w:sz="18" w:space="0" w:color="auto"/>
              <w:left w:val="single" w:sz="4" w:space="0" w:color="auto"/>
              <w:bottom w:val="single" w:sz="4" w:space="0" w:color="auto"/>
              <w:right w:val="single" w:sz="4" w:space="0" w:color="auto"/>
            </w:tcBorders>
            <w:shd w:val="clear" w:color="auto" w:fill="auto"/>
          </w:tcPr>
          <w:p w:rsidR="00C5111A" w:rsidRPr="00C5111A" w:rsidRDefault="00C5111A" w:rsidP="00911696">
            <w:pPr>
              <w:spacing w:before="60" w:after="60"/>
              <w:rPr>
                <w:rFonts w:ascii="Arial" w:hAnsi="Arial" w:cs="Arial"/>
                <w:color w:val="auto"/>
                <w:szCs w:val="20"/>
              </w:rPr>
            </w:pPr>
            <w:proofErr w:type="spellStart"/>
            <w:r w:rsidRPr="00C5111A">
              <w:rPr>
                <w:rFonts w:ascii="Arial" w:hAnsi="Arial" w:cs="Arial"/>
                <w:color w:val="000000"/>
                <w:szCs w:val="22"/>
              </w:rPr>
              <w:t>Gen</w:t>
            </w:r>
            <w:r w:rsidR="00911696">
              <w:rPr>
                <w:rFonts w:ascii="Arial" w:hAnsi="Arial" w:cs="Arial"/>
                <w:color w:val="000000"/>
                <w:szCs w:val="22"/>
              </w:rPr>
              <w:t>isis</w:t>
            </w:r>
            <w:proofErr w:type="spellEnd"/>
            <w:r w:rsidRPr="00C5111A">
              <w:rPr>
                <w:rFonts w:ascii="Arial" w:hAnsi="Arial" w:cs="Arial"/>
                <w:color w:val="000000"/>
                <w:szCs w:val="22"/>
              </w:rPr>
              <w:t xml:space="preserve"> - NetApp hardware and software license renewal and maintenance</w:t>
            </w:r>
          </w:p>
        </w:tc>
      </w:tr>
      <w:tr w:rsidR="00C5111A" w:rsidRPr="00C5111A" w:rsidTr="00C84BD0">
        <w:trPr>
          <w:cantSplit/>
        </w:trPr>
        <w:tc>
          <w:tcPr>
            <w:tcW w:w="19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tcBorders>
              <w:top w:val="single" w:sz="4" w:space="0" w:color="auto"/>
              <w:left w:val="single" w:sz="4" w:space="0" w:color="auto"/>
              <w:bottom w:val="single" w:sz="4" w:space="0" w:color="auto"/>
              <w:right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NetApp, Inc.</w:t>
            </w:r>
          </w:p>
        </w:tc>
      </w:tr>
      <w:tr w:rsidR="00C5111A" w:rsidRPr="00C5111A" w:rsidTr="00C84BD0">
        <w:trPr>
          <w:cantSplit/>
        </w:trPr>
        <w:tc>
          <w:tcPr>
            <w:tcW w:w="19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tcBorders>
              <w:top w:val="single" w:sz="4" w:space="0" w:color="auto"/>
              <w:left w:val="single" w:sz="4" w:space="0" w:color="auto"/>
              <w:bottom w:val="single" w:sz="4" w:space="0" w:color="auto"/>
              <w:right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 xml:space="preserve">Last hardware refresh/upgrade came with </w:t>
            </w:r>
            <w:proofErr w:type="gramStart"/>
            <w:r w:rsidRPr="00C5111A">
              <w:rPr>
                <w:rFonts w:ascii="Arial" w:hAnsi="Arial" w:cs="Arial"/>
                <w:color w:val="auto"/>
                <w:szCs w:val="20"/>
              </w:rPr>
              <w:t>a 3</w:t>
            </w:r>
            <w:proofErr w:type="gramEnd"/>
            <w:r w:rsidRPr="00C5111A">
              <w:rPr>
                <w:rFonts w:ascii="Arial" w:hAnsi="Arial" w:cs="Arial"/>
                <w:color w:val="auto"/>
                <w:szCs w:val="20"/>
              </w:rPr>
              <w:t>-year maintenance, and hence, we may not need this line item until 2017.</w:t>
            </w:r>
          </w:p>
        </w:tc>
      </w:tr>
      <w:tr w:rsidR="00C5111A" w:rsidRPr="00C5111A" w:rsidTr="00C84BD0">
        <w:trPr>
          <w:cantSplit/>
        </w:trPr>
        <w:tc>
          <w:tcPr>
            <w:tcW w:w="19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Annual Cost $</w:t>
            </w:r>
          </w:p>
        </w:tc>
        <w:tc>
          <w:tcPr>
            <w:tcW w:w="3100" w:type="pct"/>
            <w:tcBorders>
              <w:top w:val="single" w:sz="4" w:space="0" w:color="auto"/>
              <w:left w:val="single" w:sz="4" w:space="0" w:color="auto"/>
              <w:bottom w:val="single" w:sz="4" w:space="0" w:color="auto"/>
              <w:right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$150,000</w:t>
            </w:r>
          </w:p>
        </w:tc>
      </w:tr>
      <w:tr w:rsidR="00C5111A" w:rsidRPr="00C5111A" w:rsidTr="00C84BD0">
        <w:trPr>
          <w:cantSplit/>
        </w:trPr>
        <w:tc>
          <w:tcPr>
            <w:tcW w:w="19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tcBorders>
              <w:top w:val="single" w:sz="4" w:space="0" w:color="auto"/>
              <w:left w:val="single" w:sz="4" w:space="0" w:color="auto"/>
              <w:bottom w:val="single" w:sz="4" w:space="0" w:color="auto"/>
              <w:right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TBD</w:t>
            </w:r>
          </w:p>
        </w:tc>
      </w:tr>
      <w:tr w:rsidR="00C5111A" w:rsidRPr="00C5111A" w:rsidTr="00C84BD0">
        <w:trPr>
          <w:cantSplit/>
        </w:trPr>
        <w:tc>
          <w:tcPr>
            <w:tcW w:w="19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Current COTR name</w:t>
            </w:r>
          </w:p>
        </w:tc>
        <w:tc>
          <w:tcPr>
            <w:tcW w:w="3100" w:type="pct"/>
            <w:tcBorders>
              <w:top w:val="single" w:sz="4" w:space="0" w:color="auto"/>
              <w:left w:val="single" w:sz="4" w:space="0" w:color="auto"/>
              <w:bottom w:val="single" w:sz="4" w:space="0" w:color="auto"/>
              <w:right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Greg Muldoon</w:t>
            </w:r>
          </w:p>
        </w:tc>
      </w:tr>
      <w:tr w:rsidR="00C5111A" w:rsidRPr="00C5111A" w:rsidTr="00C84BD0">
        <w:trPr>
          <w:cantSplit/>
        </w:trPr>
        <w:tc>
          <w:tcPr>
            <w:tcW w:w="19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tcBorders>
              <w:top w:val="single" w:sz="4" w:space="0" w:color="auto"/>
              <w:left w:val="single" w:sz="4" w:space="0" w:color="auto"/>
              <w:bottom w:val="single" w:sz="4" w:space="0" w:color="auto"/>
              <w:right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tcBorders>
              <w:top w:val="single" w:sz="4" w:space="0" w:color="auto"/>
              <w:left w:val="single" w:sz="4" w:space="0" w:color="auto"/>
              <w:bottom w:val="single" w:sz="4" w:space="0" w:color="auto"/>
              <w:right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transfer planned</w:t>
            </w:r>
          </w:p>
        </w:tc>
      </w:tr>
      <w:tr w:rsidR="00C5111A" w:rsidRPr="00C5111A" w:rsidTr="00C84BD0">
        <w:trPr>
          <w:cantSplit/>
        </w:trPr>
        <w:tc>
          <w:tcPr>
            <w:tcW w:w="19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tcBorders>
              <w:top w:val="single" w:sz="4" w:space="0" w:color="auto"/>
              <w:left w:val="single" w:sz="4" w:space="0" w:color="auto"/>
              <w:bottom w:val="single" w:sz="4" w:space="0" w:color="auto"/>
              <w:right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Comments or Description </w:t>
            </w:r>
          </w:p>
        </w:tc>
        <w:tc>
          <w:tcPr>
            <w:tcW w:w="3100" w:type="pct"/>
            <w:tcBorders>
              <w:top w:val="single" w:sz="4" w:space="0" w:color="auto"/>
              <w:left w:val="single" w:sz="4" w:space="0" w:color="auto"/>
              <w:bottom w:val="single" w:sz="18" w:space="0" w:color="auto"/>
              <w:right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 xml:space="preserve">Last hardware refresh/upgrade came with </w:t>
            </w:r>
            <w:proofErr w:type="gramStart"/>
            <w:r w:rsidRPr="00C5111A">
              <w:rPr>
                <w:rFonts w:ascii="Arial" w:hAnsi="Arial" w:cs="Arial"/>
                <w:color w:val="auto"/>
                <w:szCs w:val="20"/>
              </w:rPr>
              <w:t>a 3</w:t>
            </w:r>
            <w:proofErr w:type="gramEnd"/>
            <w:r w:rsidRPr="00C5111A">
              <w:rPr>
                <w:rFonts w:ascii="Arial" w:hAnsi="Arial" w:cs="Arial"/>
                <w:color w:val="auto"/>
                <w:szCs w:val="20"/>
              </w:rPr>
              <w:t>-year maintenance</w:t>
            </w:r>
            <w:r w:rsidR="00E0789A">
              <w:rPr>
                <w:rFonts w:ascii="Arial" w:hAnsi="Arial" w:cs="Arial"/>
                <w:color w:val="auto"/>
                <w:szCs w:val="20"/>
              </w:rPr>
              <w:t>.</w:t>
            </w:r>
          </w:p>
        </w:tc>
      </w:tr>
      <w:tr w:rsidR="00C5111A" w:rsidRPr="00C5111A" w:rsidTr="00C84BD0">
        <w:trPr>
          <w:cantSplit/>
        </w:trPr>
        <w:tc>
          <w:tcPr>
            <w:tcW w:w="1900" w:type="pct"/>
            <w:tcBorders>
              <w:top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lastRenderedPageBreak/>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tcBorders>
              <w:top w:val="single" w:sz="18" w:space="0" w:color="auto"/>
            </w:tcBorders>
            <w:shd w:val="clear" w:color="auto" w:fill="auto"/>
          </w:tcPr>
          <w:p w:rsidR="00C5111A" w:rsidRPr="00C5111A" w:rsidRDefault="00C5111A" w:rsidP="00911696">
            <w:pPr>
              <w:spacing w:before="60" w:after="60"/>
              <w:rPr>
                <w:rFonts w:ascii="Arial" w:hAnsi="Arial" w:cs="Arial"/>
                <w:color w:val="auto"/>
                <w:szCs w:val="20"/>
              </w:rPr>
            </w:pPr>
            <w:proofErr w:type="spellStart"/>
            <w:r w:rsidRPr="00C5111A">
              <w:rPr>
                <w:rFonts w:ascii="Arial" w:hAnsi="Arial" w:cs="Arial"/>
                <w:color w:val="auto"/>
                <w:szCs w:val="22"/>
              </w:rPr>
              <w:t>Gen</w:t>
            </w:r>
            <w:r w:rsidR="00911696">
              <w:rPr>
                <w:rFonts w:ascii="Arial" w:hAnsi="Arial" w:cs="Arial"/>
                <w:color w:val="auto"/>
                <w:szCs w:val="22"/>
              </w:rPr>
              <w:t>isis</w:t>
            </w:r>
            <w:proofErr w:type="spellEnd"/>
            <w:r w:rsidRPr="00C5111A">
              <w:rPr>
                <w:rFonts w:ascii="Arial" w:hAnsi="Arial" w:cs="Arial"/>
                <w:color w:val="auto"/>
                <w:szCs w:val="22"/>
              </w:rPr>
              <w:t xml:space="preserve"> - </w:t>
            </w:r>
            <w:proofErr w:type="spellStart"/>
            <w:r w:rsidRPr="00C5111A">
              <w:rPr>
                <w:rFonts w:ascii="Arial" w:hAnsi="Arial" w:cs="Arial"/>
                <w:color w:val="auto"/>
                <w:szCs w:val="22"/>
              </w:rPr>
              <w:t>Informatica</w:t>
            </w:r>
            <w:proofErr w:type="spellEnd"/>
            <w:r w:rsidRPr="00C5111A">
              <w:rPr>
                <w:rFonts w:ascii="Arial" w:hAnsi="Arial" w:cs="Arial"/>
                <w:color w:val="auto"/>
                <w:szCs w:val="22"/>
              </w:rPr>
              <w:t xml:space="preserve"> software license and maintenance renewal; Contract number: </w:t>
            </w:r>
            <w:r w:rsidRPr="00C5111A">
              <w:rPr>
                <w:rFonts w:ascii="Arial" w:hAnsi="Arial" w:cs="Arial"/>
                <w:color w:val="auto"/>
                <w:szCs w:val="22"/>
              </w:rPr>
              <w:br/>
              <w:t>NNG07DA46B VA118-13-F-0027</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shd w:val="clear" w:color="auto" w:fill="auto"/>
          </w:tcPr>
          <w:p w:rsidR="00C5111A" w:rsidRPr="00C5111A" w:rsidRDefault="00C5111A" w:rsidP="00C5111A">
            <w:pPr>
              <w:tabs>
                <w:tab w:val="left" w:pos="3540"/>
              </w:tabs>
              <w:spacing w:before="60" w:after="60"/>
              <w:rPr>
                <w:rFonts w:ascii="Arial" w:hAnsi="Arial" w:cs="Arial"/>
                <w:color w:val="auto"/>
                <w:szCs w:val="20"/>
              </w:rPr>
            </w:pPr>
            <w:r w:rsidRPr="00C5111A">
              <w:rPr>
                <w:rFonts w:ascii="Arial" w:hAnsi="Arial" w:cs="Arial"/>
                <w:color w:val="auto"/>
                <w:szCs w:val="22"/>
              </w:rPr>
              <w:t>Alvarez &amp; Associates, LLC [</w:t>
            </w:r>
            <w:proofErr w:type="spellStart"/>
            <w:r w:rsidRPr="00C5111A">
              <w:rPr>
                <w:rFonts w:ascii="Arial" w:hAnsi="Arial" w:cs="Arial"/>
                <w:color w:val="auto"/>
                <w:szCs w:val="22"/>
              </w:rPr>
              <w:t>Informatica</w:t>
            </w:r>
            <w:proofErr w:type="spellEnd"/>
            <w:r w:rsidRPr="00C5111A">
              <w:rPr>
                <w:rFonts w:ascii="Arial" w:hAnsi="Arial" w:cs="Arial"/>
                <w:color w:val="auto"/>
                <w:szCs w:val="22"/>
              </w:rPr>
              <w:t xml:space="preserve"> Corporation]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option year 3 left 2/15/16 to 2/14/17</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Annual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$59,940.79</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option year 3 left</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Current COTR name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Greg Muldoon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transfer planned</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tcBorders>
              <w:bottom w:val="single" w:sz="4" w:space="0" w:color="auto"/>
            </w:tcBorders>
            <w:shd w:val="clear" w:color="auto" w:fill="auto"/>
          </w:tcPr>
          <w:p w:rsidR="00C5111A" w:rsidRPr="00C5111A" w:rsidRDefault="00C5111A" w:rsidP="00C5111A">
            <w:pPr>
              <w:tabs>
                <w:tab w:val="left" w:pos="1128"/>
              </w:tabs>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Comments or Description </w:t>
            </w:r>
          </w:p>
        </w:tc>
        <w:tc>
          <w:tcPr>
            <w:tcW w:w="3100" w:type="pct"/>
            <w:tcBorders>
              <w:bottom w:val="single" w:sz="18"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1 option year left on this contract</w:t>
            </w:r>
          </w:p>
        </w:tc>
      </w:tr>
      <w:tr w:rsidR="00C5111A" w:rsidRPr="00C5111A" w:rsidTr="00C84BD0">
        <w:trPr>
          <w:cantSplit/>
        </w:trPr>
        <w:tc>
          <w:tcPr>
            <w:tcW w:w="1900" w:type="pct"/>
            <w:tcBorders>
              <w:top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tcBorders>
              <w:top w:val="single" w:sz="18" w:space="0" w:color="auto"/>
            </w:tcBorders>
            <w:shd w:val="clear" w:color="auto" w:fill="auto"/>
          </w:tcPr>
          <w:p w:rsidR="00C5111A" w:rsidRPr="00C5111A" w:rsidRDefault="00C5111A" w:rsidP="00911696">
            <w:pPr>
              <w:spacing w:before="60" w:after="60"/>
              <w:rPr>
                <w:rFonts w:ascii="Arial" w:hAnsi="Arial" w:cs="Arial"/>
                <w:color w:val="auto"/>
                <w:szCs w:val="20"/>
              </w:rPr>
            </w:pPr>
            <w:proofErr w:type="spellStart"/>
            <w:r w:rsidRPr="00C5111A">
              <w:rPr>
                <w:rFonts w:ascii="Arial" w:hAnsi="Arial" w:cs="Arial"/>
                <w:color w:val="auto"/>
                <w:szCs w:val="22"/>
              </w:rPr>
              <w:t>Gen</w:t>
            </w:r>
            <w:r w:rsidR="00911696">
              <w:rPr>
                <w:rFonts w:ascii="Arial" w:hAnsi="Arial" w:cs="Arial"/>
                <w:color w:val="auto"/>
                <w:szCs w:val="22"/>
              </w:rPr>
              <w:t>isis</w:t>
            </w:r>
            <w:proofErr w:type="spellEnd"/>
            <w:r w:rsidRPr="00C5111A">
              <w:rPr>
                <w:rFonts w:ascii="Arial" w:hAnsi="Arial" w:cs="Arial"/>
                <w:color w:val="auto"/>
                <w:szCs w:val="22"/>
              </w:rPr>
              <w:t xml:space="preserve"> - SAS software license and maintenance renewal; Contract number: VA118-15-F-0417</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shd w:val="clear" w:color="auto" w:fill="auto"/>
          </w:tcPr>
          <w:p w:rsidR="00C5111A" w:rsidRPr="00C5111A" w:rsidRDefault="00C5111A" w:rsidP="00C5111A">
            <w:pPr>
              <w:tabs>
                <w:tab w:val="left" w:pos="3540"/>
              </w:tabs>
              <w:spacing w:before="60" w:after="60"/>
              <w:rPr>
                <w:rFonts w:ascii="Arial" w:hAnsi="Arial" w:cs="Arial"/>
                <w:color w:val="auto"/>
                <w:szCs w:val="20"/>
              </w:rPr>
            </w:pPr>
            <w:r w:rsidRPr="00C5111A">
              <w:rPr>
                <w:rFonts w:ascii="Arial" w:hAnsi="Arial" w:cs="Arial"/>
                <w:color w:val="auto"/>
                <w:szCs w:val="20"/>
              </w:rPr>
              <w:t>Executive Information Systems, LLC [SAS Institute Inc.]</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Contract expired on 9/30/15</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Annual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TBD</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TBD</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Current COTR name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Greg Muldoon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transfer planned</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tcBorders>
              <w:bottom w:val="single" w:sz="4" w:space="0" w:color="auto"/>
            </w:tcBorders>
            <w:shd w:val="clear" w:color="auto" w:fill="auto"/>
          </w:tcPr>
          <w:p w:rsidR="00C5111A" w:rsidRPr="00C5111A" w:rsidRDefault="00C5111A" w:rsidP="00C5111A">
            <w:pPr>
              <w:tabs>
                <w:tab w:val="left" w:pos="1128"/>
              </w:tabs>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Comments or Description </w:t>
            </w:r>
          </w:p>
        </w:tc>
        <w:tc>
          <w:tcPr>
            <w:tcW w:w="3100" w:type="pct"/>
            <w:tcBorders>
              <w:bottom w:val="single" w:sz="18"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Need new contract</w:t>
            </w:r>
          </w:p>
        </w:tc>
      </w:tr>
      <w:tr w:rsidR="00C5111A" w:rsidRPr="00C5111A" w:rsidTr="00C84BD0">
        <w:trPr>
          <w:cantSplit/>
        </w:trPr>
        <w:tc>
          <w:tcPr>
            <w:tcW w:w="1900" w:type="pct"/>
            <w:tcBorders>
              <w:top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tcBorders>
              <w:top w:val="single" w:sz="18" w:space="0" w:color="auto"/>
            </w:tcBorders>
            <w:shd w:val="clear" w:color="auto" w:fill="auto"/>
          </w:tcPr>
          <w:p w:rsidR="00C5111A" w:rsidRPr="00C5111A" w:rsidRDefault="00C5111A" w:rsidP="00911696">
            <w:pPr>
              <w:spacing w:before="60" w:after="60"/>
              <w:rPr>
                <w:rFonts w:ascii="Arial" w:hAnsi="Arial" w:cs="Arial"/>
                <w:color w:val="auto"/>
                <w:szCs w:val="20"/>
              </w:rPr>
            </w:pPr>
            <w:proofErr w:type="spellStart"/>
            <w:r w:rsidRPr="00C5111A">
              <w:rPr>
                <w:rFonts w:ascii="Arial" w:hAnsi="Arial" w:cs="Arial"/>
                <w:color w:val="auto"/>
                <w:szCs w:val="22"/>
              </w:rPr>
              <w:t>Gen</w:t>
            </w:r>
            <w:r w:rsidR="00911696">
              <w:rPr>
                <w:rFonts w:ascii="Arial" w:hAnsi="Arial" w:cs="Arial"/>
                <w:color w:val="auto"/>
                <w:szCs w:val="22"/>
              </w:rPr>
              <w:t>isis</w:t>
            </w:r>
            <w:proofErr w:type="spellEnd"/>
            <w:r w:rsidRPr="00C5111A">
              <w:rPr>
                <w:rFonts w:ascii="Arial" w:hAnsi="Arial" w:cs="Arial"/>
                <w:color w:val="auto"/>
                <w:szCs w:val="22"/>
              </w:rPr>
              <w:t xml:space="preserve"> - LIMS software license and maintenance renewal; Contract number: NNG07DA46B VA118-13-F-0027</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shd w:val="clear" w:color="auto" w:fill="auto"/>
          </w:tcPr>
          <w:p w:rsidR="00C5111A" w:rsidRPr="00C5111A" w:rsidRDefault="00C5111A" w:rsidP="00C5111A">
            <w:pPr>
              <w:tabs>
                <w:tab w:val="left" w:pos="3540"/>
              </w:tabs>
              <w:spacing w:before="60" w:after="60"/>
              <w:rPr>
                <w:rFonts w:ascii="Arial" w:hAnsi="Arial" w:cs="Arial"/>
                <w:color w:val="auto"/>
                <w:szCs w:val="20"/>
              </w:rPr>
            </w:pPr>
            <w:r w:rsidRPr="00C5111A">
              <w:rPr>
                <w:rFonts w:ascii="Arial" w:hAnsi="Arial" w:cs="Arial"/>
                <w:color w:val="auto"/>
                <w:szCs w:val="20"/>
              </w:rPr>
              <w:t>Alvarez &amp; Associates, LLC</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Option year 1 executed and expires on 2/14/16</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Annual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$59,940.79</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more options</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lastRenderedPageBreak/>
              <w:t>Current COTR name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Greg Muldoon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transfer planned</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tcBorders>
              <w:bottom w:val="single" w:sz="4" w:space="0" w:color="auto"/>
            </w:tcBorders>
            <w:shd w:val="clear" w:color="auto" w:fill="auto"/>
          </w:tcPr>
          <w:p w:rsidR="00C5111A" w:rsidRPr="00C5111A" w:rsidRDefault="00C5111A" w:rsidP="00C5111A">
            <w:pPr>
              <w:tabs>
                <w:tab w:val="left" w:pos="1128"/>
              </w:tabs>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Comments or Description </w:t>
            </w:r>
          </w:p>
        </w:tc>
        <w:tc>
          <w:tcPr>
            <w:tcW w:w="3100" w:type="pct"/>
            <w:tcBorders>
              <w:bottom w:val="single" w:sz="18"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Need new contract</w:t>
            </w:r>
          </w:p>
        </w:tc>
      </w:tr>
      <w:tr w:rsidR="00C5111A" w:rsidRPr="00C5111A" w:rsidTr="00C84BD0">
        <w:trPr>
          <w:cantSplit/>
        </w:trPr>
        <w:tc>
          <w:tcPr>
            <w:tcW w:w="1900" w:type="pct"/>
            <w:tcBorders>
              <w:top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tcBorders>
              <w:top w:val="single" w:sz="18" w:space="0" w:color="auto"/>
            </w:tcBorders>
            <w:shd w:val="clear" w:color="auto" w:fill="auto"/>
          </w:tcPr>
          <w:p w:rsidR="00C5111A" w:rsidRPr="00C5111A" w:rsidRDefault="00C5111A" w:rsidP="00911696">
            <w:pPr>
              <w:spacing w:before="60" w:after="60"/>
              <w:rPr>
                <w:rFonts w:ascii="Arial" w:hAnsi="Arial" w:cs="Arial"/>
                <w:color w:val="auto"/>
                <w:szCs w:val="20"/>
              </w:rPr>
            </w:pPr>
            <w:proofErr w:type="spellStart"/>
            <w:r w:rsidRPr="00C5111A">
              <w:rPr>
                <w:rFonts w:ascii="Arial" w:hAnsi="Arial" w:cs="Arial"/>
                <w:color w:val="auto"/>
                <w:szCs w:val="20"/>
              </w:rPr>
              <w:t>Gen</w:t>
            </w:r>
            <w:r w:rsidR="00911696">
              <w:rPr>
                <w:rFonts w:ascii="Arial" w:hAnsi="Arial" w:cs="Arial"/>
                <w:color w:val="auto"/>
                <w:szCs w:val="20"/>
              </w:rPr>
              <w:t>isis</w:t>
            </w:r>
            <w:proofErr w:type="spellEnd"/>
            <w:r w:rsidRPr="00C5111A">
              <w:rPr>
                <w:rFonts w:ascii="Arial" w:hAnsi="Arial" w:cs="Arial"/>
                <w:color w:val="auto"/>
                <w:szCs w:val="20"/>
              </w:rPr>
              <w:t xml:space="preserve"> - Infrastructure Sustainment personnel to support MVP Booz Allen: Contract number: VA118-1008-0051</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shd w:val="clear" w:color="auto" w:fill="auto"/>
          </w:tcPr>
          <w:p w:rsidR="00C5111A" w:rsidRPr="00C5111A" w:rsidRDefault="00C5111A" w:rsidP="00C5111A">
            <w:pPr>
              <w:tabs>
                <w:tab w:val="left" w:pos="3540"/>
              </w:tabs>
              <w:spacing w:before="60" w:after="60"/>
              <w:rPr>
                <w:rFonts w:ascii="Arial" w:hAnsi="Arial" w:cs="Arial"/>
                <w:color w:val="auto"/>
                <w:szCs w:val="20"/>
              </w:rPr>
            </w:pPr>
            <w:r w:rsidRPr="00C5111A">
              <w:rPr>
                <w:rFonts w:ascii="Arial" w:hAnsi="Arial" w:cs="Arial"/>
                <w:color w:val="auto"/>
                <w:szCs w:val="20"/>
              </w:rPr>
              <w:t>Booz Allen Hamilton Inc.</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Contract expires 6/4/16</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Annual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$746,642.76</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option years</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Current COTR name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TBD</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tcBorders>
              <w:bottom w:val="single" w:sz="4" w:space="0" w:color="auto"/>
            </w:tcBorders>
            <w:shd w:val="clear" w:color="auto" w:fill="auto"/>
          </w:tcPr>
          <w:p w:rsidR="00C5111A" w:rsidRPr="00C5111A" w:rsidRDefault="00C5111A" w:rsidP="00C5111A">
            <w:pPr>
              <w:tabs>
                <w:tab w:val="left" w:pos="1128"/>
              </w:tabs>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Comments or Description </w:t>
            </w:r>
          </w:p>
        </w:tc>
        <w:tc>
          <w:tcPr>
            <w:tcW w:w="3100" w:type="pct"/>
            <w:tcBorders>
              <w:bottom w:val="single" w:sz="18" w:space="0" w:color="auto"/>
            </w:tcBorders>
            <w:shd w:val="clear" w:color="auto" w:fill="auto"/>
          </w:tcPr>
          <w:p w:rsidR="00C5111A" w:rsidRPr="00C5111A" w:rsidRDefault="00C5111A" w:rsidP="00520485">
            <w:pPr>
              <w:spacing w:before="60" w:after="60"/>
              <w:rPr>
                <w:rFonts w:ascii="Arial" w:hAnsi="Arial" w:cs="Arial"/>
                <w:color w:val="auto"/>
                <w:szCs w:val="20"/>
              </w:rPr>
            </w:pPr>
            <w:r w:rsidRPr="00C5111A">
              <w:rPr>
                <w:rFonts w:ascii="Arial" w:hAnsi="Arial" w:cs="Arial"/>
                <w:color w:val="auto"/>
                <w:szCs w:val="20"/>
              </w:rPr>
              <w:t>Current option period ends on 6/4/16. Need new contract, and hence, need to develop PWS. As Gen</w:t>
            </w:r>
            <w:r w:rsidR="00520485">
              <w:rPr>
                <w:rFonts w:ascii="Arial" w:hAnsi="Arial" w:cs="Arial"/>
                <w:color w:val="auto"/>
                <w:szCs w:val="20"/>
              </w:rPr>
              <w:t>isis</w:t>
            </w:r>
            <w:r w:rsidR="006E587C">
              <w:rPr>
                <w:rFonts w:ascii="Arial" w:hAnsi="Arial" w:cs="Arial"/>
                <w:color w:val="auto"/>
                <w:szCs w:val="20"/>
              </w:rPr>
              <w:t>2</w:t>
            </w:r>
            <w:r w:rsidRPr="00C5111A">
              <w:rPr>
                <w:rFonts w:ascii="Arial" w:hAnsi="Arial" w:cs="Arial"/>
                <w:color w:val="auto"/>
                <w:szCs w:val="20"/>
              </w:rPr>
              <w:t xml:space="preserve"> is growing. Would prefer an IDIQ type of contract for sustainment against which we can obligate multiple tasks, as and when needed.</w:t>
            </w:r>
          </w:p>
        </w:tc>
      </w:tr>
      <w:tr w:rsidR="00C5111A" w:rsidRPr="00C5111A" w:rsidTr="00C84BD0">
        <w:trPr>
          <w:cantSplit/>
        </w:trPr>
        <w:tc>
          <w:tcPr>
            <w:tcW w:w="1900" w:type="pct"/>
            <w:tcBorders>
              <w:top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tcBorders>
              <w:top w:val="single" w:sz="18" w:space="0" w:color="auto"/>
            </w:tcBorders>
            <w:shd w:val="clear" w:color="auto" w:fill="auto"/>
          </w:tcPr>
          <w:p w:rsidR="00C5111A" w:rsidRPr="00C5111A" w:rsidRDefault="00C5111A" w:rsidP="006E587C">
            <w:pPr>
              <w:spacing w:before="60" w:after="60"/>
              <w:rPr>
                <w:rFonts w:ascii="Arial" w:hAnsi="Arial" w:cs="Arial"/>
                <w:color w:val="auto"/>
                <w:szCs w:val="20"/>
              </w:rPr>
            </w:pPr>
            <w:proofErr w:type="spellStart"/>
            <w:r w:rsidRPr="00C5111A">
              <w:rPr>
                <w:rFonts w:ascii="Arial" w:hAnsi="Arial" w:cs="Arial"/>
                <w:color w:val="000000"/>
                <w:szCs w:val="22"/>
              </w:rPr>
              <w:t>Gen</w:t>
            </w:r>
            <w:r w:rsidR="006E587C">
              <w:rPr>
                <w:rFonts w:ascii="Arial" w:hAnsi="Arial" w:cs="Arial"/>
                <w:color w:val="000000"/>
                <w:szCs w:val="22"/>
              </w:rPr>
              <w:t>isis</w:t>
            </w:r>
            <w:proofErr w:type="spellEnd"/>
            <w:r w:rsidRPr="00C5111A">
              <w:rPr>
                <w:rFonts w:ascii="Arial" w:hAnsi="Arial" w:cs="Arial"/>
                <w:color w:val="000000"/>
                <w:szCs w:val="22"/>
              </w:rPr>
              <w:t xml:space="preserve"> - JMP Genomics software license and maintenance renewal; Contract number: VA118-15-F-0154</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shd w:val="clear" w:color="auto" w:fill="auto"/>
          </w:tcPr>
          <w:p w:rsidR="00C5111A" w:rsidRPr="00C5111A" w:rsidRDefault="00C5111A" w:rsidP="00C5111A">
            <w:pPr>
              <w:tabs>
                <w:tab w:val="left" w:pos="3540"/>
              </w:tabs>
              <w:spacing w:before="60" w:after="60"/>
              <w:rPr>
                <w:rFonts w:ascii="Arial" w:hAnsi="Arial" w:cs="Arial"/>
                <w:color w:val="auto"/>
                <w:szCs w:val="20"/>
              </w:rPr>
            </w:pPr>
            <w:r w:rsidRPr="00C5111A">
              <w:rPr>
                <w:rFonts w:ascii="Arial" w:hAnsi="Arial" w:cs="Arial"/>
                <w:color w:val="auto"/>
                <w:szCs w:val="20"/>
              </w:rPr>
              <w:t>Executive Information Systems, LLC [SAS Institute Inc.]</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Expires 6/29/16</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Annual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$13,632.00</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option years</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Current COTR name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Greg Muldoon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transfer planned</w:t>
            </w:r>
          </w:p>
        </w:tc>
      </w:tr>
      <w:tr w:rsidR="00C5111A" w:rsidRPr="00C5111A" w:rsidTr="00C84BD0">
        <w:trPr>
          <w:cantSplit/>
        </w:trPr>
        <w:tc>
          <w:tcPr>
            <w:tcW w:w="1900" w:type="pct"/>
            <w:tcBorders>
              <w:bottom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tcBorders>
              <w:bottom w:val="single" w:sz="4" w:space="0" w:color="auto"/>
            </w:tcBorders>
            <w:shd w:val="clear" w:color="auto" w:fill="auto"/>
          </w:tcPr>
          <w:p w:rsidR="00C5111A" w:rsidRPr="00C5111A" w:rsidRDefault="00C5111A" w:rsidP="00C5111A">
            <w:pPr>
              <w:tabs>
                <w:tab w:val="left" w:pos="1128"/>
              </w:tabs>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lastRenderedPageBreak/>
              <w:t xml:space="preserve">Comments or Description </w:t>
            </w:r>
          </w:p>
        </w:tc>
        <w:tc>
          <w:tcPr>
            <w:tcW w:w="3100" w:type="pct"/>
            <w:tcBorders>
              <w:bottom w:val="single" w:sz="18"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 xml:space="preserve">Need </w:t>
            </w:r>
            <w:proofErr w:type="spellStart"/>
            <w:r w:rsidRPr="00C5111A">
              <w:rPr>
                <w:rFonts w:ascii="Arial" w:hAnsi="Arial" w:cs="Arial"/>
                <w:color w:val="auto"/>
                <w:szCs w:val="20"/>
              </w:rPr>
              <w:t>recompete</w:t>
            </w:r>
            <w:proofErr w:type="spellEnd"/>
            <w:r w:rsidRPr="00C5111A">
              <w:rPr>
                <w:rFonts w:ascii="Arial" w:hAnsi="Arial" w:cs="Arial"/>
                <w:color w:val="auto"/>
                <w:szCs w:val="20"/>
              </w:rPr>
              <w:t xml:space="preserve"> contract - all prior options expired</w:t>
            </w:r>
          </w:p>
        </w:tc>
      </w:tr>
      <w:tr w:rsidR="00C5111A" w:rsidRPr="00C5111A" w:rsidTr="00C84BD0">
        <w:trPr>
          <w:cantSplit/>
        </w:trPr>
        <w:tc>
          <w:tcPr>
            <w:tcW w:w="1900" w:type="pct"/>
            <w:tcBorders>
              <w:top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tcBorders>
              <w:top w:val="single" w:sz="18" w:space="0" w:color="auto"/>
            </w:tcBorders>
            <w:shd w:val="clear" w:color="auto" w:fill="auto"/>
          </w:tcPr>
          <w:p w:rsidR="00C5111A" w:rsidRPr="00C5111A" w:rsidRDefault="00C5111A" w:rsidP="006E587C">
            <w:pPr>
              <w:spacing w:before="60" w:after="60"/>
              <w:rPr>
                <w:rFonts w:ascii="Arial" w:hAnsi="Arial" w:cs="Arial"/>
                <w:color w:val="auto"/>
                <w:szCs w:val="20"/>
              </w:rPr>
            </w:pPr>
            <w:proofErr w:type="spellStart"/>
            <w:r w:rsidRPr="00C5111A">
              <w:rPr>
                <w:rFonts w:ascii="Arial" w:hAnsi="Arial" w:cs="Arial"/>
                <w:color w:val="auto"/>
                <w:szCs w:val="22"/>
              </w:rPr>
              <w:t>Gen</w:t>
            </w:r>
            <w:r w:rsidR="006E587C">
              <w:rPr>
                <w:rFonts w:ascii="Arial" w:hAnsi="Arial" w:cs="Arial"/>
                <w:color w:val="auto"/>
                <w:szCs w:val="22"/>
              </w:rPr>
              <w:t>isis</w:t>
            </w:r>
            <w:proofErr w:type="spellEnd"/>
            <w:r w:rsidRPr="00C5111A">
              <w:rPr>
                <w:rFonts w:ascii="Arial" w:hAnsi="Arial" w:cs="Arial"/>
                <w:color w:val="auto"/>
                <w:szCs w:val="22"/>
              </w:rPr>
              <w:t xml:space="preserve"> - LSF Software Warranty and Maintenance Support for HPC; Contract number: NNG07DA43B  VA118-15-F-0096</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shd w:val="clear" w:color="auto" w:fill="auto"/>
          </w:tcPr>
          <w:p w:rsidR="00C5111A" w:rsidRPr="00C5111A" w:rsidRDefault="00C5111A" w:rsidP="00C5111A">
            <w:pPr>
              <w:tabs>
                <w:tab w:val="left" w:pos="3540"/>
              </w:tabs>
              <w:spacing w:before="60" w:after="60"/>
              <w:rPr>
                <w:rFonts w:ascii="Arial" w:hAnsi="Arial" w:cs="Arial"/>
                <w:color w:val="auto"/>
                <w:szCs w:val="20"/>
              </w:rPr>
            </w:pPr>
            <w:proofErr w:type="spellStart"/>
            <w:r w:rsidRPr="00C5111A">
              <w:rPr>
                <w:rFonts w:ascii="Arial" w:hAnsi="Arial" w:cs="Arial"/>
                <w:color w:val="auto"/>
                <w:szCs w:val="20"/>
              </w:rPr>
              <w:t>Fedstore</w:t>
            </w:r>
            <w:proofErr w:type="spellEnd"/>
            <w:r w:rsidRPr="00C5111A">
              <w:rPr>
                <w:rFonts w:ascii="Arial" w:hAnsi="Arial" w:cs="Arial"/>
                <w:color w:val="auto"/>
                <w:szCs w:val="20"/>
              </w:rPr>
              <w:t xml:space="preserve"> Corporation, Inc. [International Business Machines Corporation]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Expires 4/30/16</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Annual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$21,243.83</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options</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Current COTR name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Greg Muldoon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tcBorders>
              <w:bottom w:val="single" w:sz="4" w:space="0" w:color="auto"/>
            </w:tcBorders>
            <w:shd w:val="clear" w:color="auto" w:fill="auto"/>
          </w:tcPr>
          <w:p w:rsidR="00C5111A" w:rsidRPr="00C5111A" w:rsidRDefault="00C5111A" w:rsidP="00C5111A">
            <w:pPr>
              <w:tabs>
                <w:tab w:val="left" w:pos="1128"/>
              </w:tabs>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Comments or Description </w:t>
            </w:r>
          </w:p>
        </w:tc>
        <w:tc>
          <w:tcPr>
            <w:tcW w:w="3100" w:type="pct"/>
            <w:tcBorders>
              <w:bottom w:val="single" w:sz="18"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 xml:space="preserve">Need </w:t>
            </w:r>
            <w:proofErr w:type="spellStart"/>
            <w:proofErr w:type="gramStart"/>
            <w:r w:rsidRPr="00C5111A">
              <w:rPr>
                <w:rFonts w:ascii="Arial" w:hAnsi="Arial" w:cs="Arial"/>
                <w:color w:val="auto"/>
                <w:szCs w:val="20"/>
              </w:rPr>
              <w:t>recompete</w:t>
            </w:r>
            <w:proofErr w:type="spellEnd"/>
            <w:proofErr w:type="gramEnd"/>
            <w:r w:rsidRPr="00C5111A">
              <w:rPr>
                <w:rFonts w:ascii="Arial" w:hAnsi="Arial" w:cs="Arial"/>
                <w:color w:val="auto"/>
                <w:szCs w:val="20"/>
              </w:rPr>
              <w:t xml:space="preserve"> contract - all prior options expired. We may need to buy more, because </w:t>
            </w:r>
            <w:r w:rsidR="00EE1BC0">
              <w:rPr>
                <w:rFonts w:ascii="Arial" w:hAnsi="Arial" w:cs="Arial"/>
                <w:color w:val="auto"/>
                <w:szCs w:val="20"/>
              </w:rPr>
              <w:t>Genisis</w:t>
            </w:r>
            <w:r w:rsidR="00520485">
              <w:rPr>
                <w:rFonts w:ascii="Arial" w:hAnsi="Arial" w:cs="Arial"/>
                <w:color w:val="auto"/>
                <w:szCs w:val="20"/>
              </w:rPr>
              <w:t>2</w:t>
            </w:r>
            <w:r w:rsidRPr="00C5111A">
              <w:rPr>
                <w:rFonts w:ascii="Arial" w:hAnsi="Arial" w:cs="Arial"/>
                <w:color w:val="auto"/>
                <w:szCs w:val="20"/>
              </w:rPr>
              <w:t xml:space="preserve"> will expand to a second site.</w:t>
            </w:r>
          </w:p>
        </w:tc>
      </w:tr>
      <w:tr w:rsidR="00C5111A" w:rsidRPr="00C5111A" w:rsidTr="00C84BD0">
        <w:trPr>
          <w:cantSplit/>
        </w:trPr>
        <w:tc>
          <w:tcPr>
            <w:tcW w:w="1900" w:type="pct"/>
            <w:tcBorders>
              <w:top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tcBorders>
              <w:top w:val="single" w:sz="18" w:space="0" w:color="auto"/>
            </w:tcBorders>
            <w:shd w:val="clear" w:color="auto" w:fill="auto"/>
          </w:tcPr>
          <w:p w:rsidR="00C5111A" w:rsidRPr="00C5111A" w:rsidRDefault="00C5111A" w:rsidP="006E587C">
            <w:pPr>
              <w:spacing w:before="60" w:after="60"/>
              <w:rPr>
                <w:rFonts w:ascii="Arial" w:hAnsi="Arial" w:cs="Arial"/>
                <w:color w:val="auto"/>
                <w:szCs w:val="20"/>
              </w:rPr>
            </w:pPr>
            <w:proofErr w:type="spellStart"/>
            <w:r w:rsidRPr="00C5111A">
              <w:rPr>
                <w:rFonts w:ascii="Arial" w:hAnsi="Arial" w:cs="Arial"/>
                <w:color w:val="auto"/>
                <w:szCs w:val="22"/>
              </w:rPr>
              <w:t>Gen</w:t>
            </w:r>
            <w:r w:rsidR="006E587C">
              <w:rPr>
                <w:rFonts w:ascii="Arial" w:hAnsi="Arial" w:cs="Arial"/>
                <w:color w:val="auto"/>
                <w:szCs w:val="22"/>
              </w:rPr>
              <w:t>isis</w:t>
            </w:r>
            <w:proofErr w:type="spellEnd"/>
            <w:r w:rsidRPr="00C5111A">
              <w:rPr>
                <w:rFonts w:ascii="Arial" w:hAnsi="Arial" w:cs="Arial"/>
                <w:color w:val="auto"/>
                <w:szCs w:val="22"/>
              </w:rPr>
              <w:t xml:space="preserve"> - Hardware Warranty and Maintenance Support for HPC; Contract number: VA118-15-F-0010</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shd w:val="clear" w:color="auto" w:fill="auto"/>
          </w:tcPr>
          <w:p w:rsidR="00C5111A" w:rsidRPr="00C5111A" w:rsidRDefault="00C5111A" w:rsidP="00C5111A">
            <w:pPr>
              <w:tabs>
                <w:tab w:val="left" w:pos="3540"/>
              </w:tabs>
              <w:spacing w:before="60" w:after="60"/>
              <w:rPr>
                <w:rFonts w:ascii="Arial" w:hAnsi="Arial" w:cs="Arial"/>
                <w:color w:val="auto"/>
                <w:szCs w:val="20"/>
              </w:rPr>
            </w:pPr>
            <w:r w:rsidRPr="00C5111A">
              <w:rPr>
                <w:rFonts w:ascii="Arial" w:hAnsi="Arial" w:cs="Arial"/>
                <w:color w:val="auto"/>
                <w:szCs w:val="20"/>
              </w:rPr>
              <w:t>Three Wire Systems, LLC</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One option year left 11/21/2015 to 11/20/2016</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Annual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$144,769.85</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One option year left</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Current COTR name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Greg Muldoon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transfer planned</w:t>
            </w:r>
          </w:p>
        </w:tc>
      </w:tr>
      <w:tr w:rsidR="00C5111A" w:rsidRPr="00C5111A" w:rsidTr="00C84BD0">
        <w:trPr>
          <w:cantSplit/>
        </w:trPr>
        <w:tc>
          <w:tcPr>
            <w:tcW w:w="1900" w:type="pct"/>
            <w:tcBorders>
              <w:bottom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tcBorders>
              <w:bottom w:val="single" w:sz="4" w:space="0" w:color="auto"/>
            </w:tcBorders>
            <w:shd w:val="clear" w:color="auto" w:fill="auto"/>
          </w:tcPr>
          <w:p w:rsidR="00C5111A" w:rsidRPr="00C5111A" w:rsidRDefault="00C5111A" w:rsidP="00C5111A">
            <w:pPr>
              <w:tabs>
                <w:tab w:val="left" w:pos="1128"/>
              </w:tabs>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Comments or Description </w:t>
            </w:r>
          </w:p>
        </w:tc>
        <w:tc>
          <w:tcPr>
            <w:tcW w:w="3100" w:type="pct"/>
            <w:tcBorders>
              <w:bottom w:val="single" w:sz="18" w:space="0" w:color="auto"/>
            </w:tcBorders>
            <w:shd w:val="clear" w:color="auto" w:fill="auto"/>
          </w:tcPr>
          <w:p w:rsidR="00C5111A" w:rsidRPr="00C5111A" w:rsidRDefault="00C5111A" w:rsidP="00C5111A">
            <w:pPr>
              <w:spacing w:before="60" w:after="60"/>
              <w:rPr>
                <w:rFonts w:ascii="Arial" w:hAnsi="Arial" w:cs="Arial"/>
                <w:color w:val="auto"/>
                <w:szCs w:val="20"/>
              </w:rPr>
            </w:pPr>
          </w:p>
        </w:tc>
      </w:tr>
      <w:tr w:rsidR="00C5111A" w:rsidRPr="00C5111A" w:rsidTr="00C84BD0">
        <w:trPr>
          <w:cantSplit/>
        </w:trPr>
        <w:tc>
          <w:tcPr>
            <w:tcW w:w="1900" w:type="pct"/>
            <w:tcBorders>
              <w:top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tcBorders>
              <w:top w:val="single" w:sz="18" w:space="0" w:color="auto"/>
            </w:tcBorders>
            <w:shd w:val="clear" w:color="auto" w:fill="auto"/>
          </w:tcPr>
          <w:p w:rsidR="00C5111A" w:rsidRPr="00C5111A" w:rsidRDefault="00C5111A" w:rsidP="006E587C">
            <w:pPr>
              <w:spacing w:before="60" w:after="60"/>
              <w:rPr>
                <w:rFonts w:ascii="Arial" w:hAnsi="Arial" w:cs="Arial"/>
                <w:color w:val="auto"/>
                <w:szCs w:val="20"/>
              </w:rPr>
            </w:pPr>
            <w:proofErr w:type="spellStart"/>
            <w:r w:rsidRPr="00C5111A">
              <w:rPr>
                <w:rFonts w:ascii="Arial" w:hAnsi="Arial" w:cs="Arial"/>
                <w:color w:val="auto"/>
                <w:szCs w:val="22"/>
              </w:rPr>
              <w:t>Gen</w:t>
            </w:r>
            <w:r w:rsidR="006E587C">
              <w:rPr>
                <w:rFonts w:ascii="Arial" w:hAnsi="Arial" w:cs="Arial"/>
                <w:color w:val="auto"/>
                <w:szCs w:val="22"/>
              </w:rPr>
              <w:t>isis</w:t>
            </w:r>
            <w:proofErr w:type="spellEnd"/>
            <w:r w:rsidRPr="00C5111A">
              <w:rPr>
                <w:rFonts w:ascii="Arial" w:hAnsi="Arial" w:cs="Arial"/>
                <w:color w:val="auto"/>
                <w:szCs w:val="22"/>
              </w:rPr>
              <w:t xml:space="preserve"> - MATLAB software license and maintenance renewal; Contract number: NNG07DA45B  VA118-15-F0041</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shd w:val="clear" w:color="auto" w:fill="auto"/>
          </w:tcPr>
          <w:p w:rsidR="00C5111A" w:rsidRPr="00C5111A" w:rsidRDefault="00C5111A" w:rsidP="00C5111A">
            <w:pPr>
              <w:tabs>
                <w:tab w:val="left" w:pos="3540"/>
              </w:tabs>
              <w:spacing w:before="60" w:after="60"/>
              <w:rPr>
                <w:rFonts w:ascii="Arial" w:hAnsi="Arial" w:cs="Arial"/>
                <w:color w:val="auto"/>
                <w:szCs w:val="20"/>
              </w:rPr>
            </w:pPr>
            <w:proofErr w:type="spellStart"/>
            <w:r w:rsidRPr="00C5111A">
              <w:rPr>
                <w:rFonts w:ascii="Arial" w:hAnsi="Arial" w:cs="Arial"/>
                <w:color w:val="auto"/>
                <w:szCs w:val="20"/>
              </w:rPr>
              <w:t>ThunderCat</w:t>
            </w:r>
            <w:proofErr w:type="spellEnd"/>
            <w:r w:rsidRPr="00C5111A">
              <w:rPr>
                <w:rFonts w:ascii="Arial" w:hAnsi="Arial" w:cs="Arial"/>
                <w:color w:val="auto"/>
                <w:szCs w:val="20"/>
              </w:rPr>
              <w:t xml:space="preserve"> Technology, LLC [The </w:t>
            </w:r>
            <w:proofErr w:type="spellStart"/>
            <w:r w:rsidRPr="00C5111A">
              <w:rPr>
                <w:rFonts w:ascii="Arial" w:hAnsi="Arial" w:cs="Arial"/>
                <w:color w:val="auto"/>
                <w:szCs w:val="20"/>
              </w:rPr>
              <w:t>MathWorks</w:t>
            </w:r>
            <w:proofErr w:type="spellEnd"/>
            <w:r w:rsidRPr="00C5111A">
              <w:rPr>
                <w:rFonts w:ascii="Arial" w:hAnsi="Arial" w:cs="Arial"/>
                <w:color w:val="auto"/>
                <w:szCs w:val="20"/>
              </w:rPr>
              <w:t>, Inc.]</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 xml:space="preserve">Expires 6/30/16 </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lastRenderedPageBreak/>
              <w:t>Annual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$31,892.98</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options</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Current COTR name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Greg Muldoon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shd w:val="clear" w:color="auto" w:fill="auto"/>
          </w:tcPr>
          <w:p w:rsidR="00C5111A" w:rsidRPr="00C5111A" w:rsidRDefault="00C5111A" w:rsidP="00C5111A">
            <w:pPr>
              <w:tabs>
                <w:tab w:val="left" w:pos="1128"/>
              </w:tabs>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Comments or Description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 xml:space="preserve">Need </w:t>
            </w:r>
            <w:proofErr w:type="spellStart"/>
            <w:r w:rsidRPr="00C5111A">
              <w:rPr>
                <w:rFonts w:ascii="Arial" w:hAnsi="Arial" w:cs="Arial"/>
                <w:color w:val="auto"/>
                <w:szCs w:val="20"/>
              </w:rPr>
              <w:t>recompete</w:t>
            </w:r>
            <w:proofErr w:type="spellEnd"/>
            <w:r w:rsidRPr="00C5111A">
              <w:rPr>
                <w:rFonts w:ascii="Arial" w:hAnsi="Arial" w:cs="Arial"/>
                <w:color w:val="auto"/>
                <w:szCs w:val="20"/>
              </w:rPr>
              <w:t xml:space="preserve"> contract - all prior options expired</w:t>
            </w:r>
          </w:p>
        </w:tc>
      </w:tr>
    </w:tbl>
    <w:p w:rsidR="00C5111A" w:rsidRPr="00C5111A" w:rsidRDefault="00C5111A" w:rsidP="00C5111A">
      <w:pPr>
        <w:pStyle w:val="BodyText"/>
      </w:pPr>
    </w:p>
    <w:p w:rsidR="00C5111A" w:rsidRDefault="00C5111A" w:rsidP="00A94BC8">
      <w:pPr>
        <w:pStyle w:val="InstructionalText1"/>
      </w:pPr>
    </w:p>
    <w:p w:rsidR="00440AFF" w:rsidRDefault="00440AFF" w:rsidP="00440AFF">
      <w:pPr>
        <w:pStyle w:val="Heading1"/>
      </w:pPr>
      <w:bookmarkStart w:id="12" w:name="_Toc485322798"/>
      <w:r>
        <w:lastRenderedPageBreak/>
        <w:t>Electronic Inventory List and Asset Management</w:t>
      </w:r>
      <w:bookmarkEnd w:id="12"/>
    </w:p>
    <w:p w:rsidR="006F0B15" w:rsidRPr="00BF4946" w:rsidRDefault="006F0B15" w:rsidP="006F0B15">
      <w:pPr>
        <w:pStyle w:val="BodyText"/>
      </w:pPr>
      <w:r>
        <w:t xml:space="preserve">The inventory will be maintained by the Pittsburgh EIL station 646 and Boston EIL station 523.  </w:t>
      </w:r>
      <w:r w:rsidRPr="00BF4946">
        <w:t xml:space="preserve">Additional inventory and assets will be evaluated by the </w:t>
      </w:r>
      <w:r w:rsidR="00EE1BC0">
        <w:t>Genisis</w:t>
      </w:r>
      <w:r w:rsidR="00520485">
        <w:t>2</w:t>
      </w:r>
      <w:r w:rsidRPr="00BF4946">
        <w:t xml:space="preserve"> management team.</w:t>
      </w:r>
    </w:p>
    <w:p w:rsidR="00440AFF" w:rsidRDefault="00440AFF" w:rsidP="00440AFF">
      <w:pPr>
        <w:pStyle w:val="BodyText"/>
      </w:pPr>
    </w:p>
    <w:p w:rsidR="00440AFF" w:rsidRDefault="00440AFF" w:rsidP="00440AFF">
      <w:pPr>
        <w:pStyle w:val="Heading1"/>
        <w:pageBreakBefore w:val="0"/>
      </w:pPr>
      <w:bookmarkStart w:id="13" w:name="_Toc485322799"/>
      <w:r>
        <w:t>Service Level Requirements</w:t>
      </w:r>
      <w:bookmarkEnd w:id="13"/>
    </w:p>
    <w:p w:rsidR="00856932" w:rsidRPr="00BF4946" w:rsidRDefault="00856932" w:rsidP="00856932">
      <w:pPr>
        <w:rPr>
          <w:sz w:val="24"/>
        </w:rPr>
      </w:pPr>
      <w:r w:rsidRPr="00F21872">
        <w:rPr>
          <w:sz w:val="24"/>
        </w:rPr>
        <w:t xml:space="preserve">Information on Service Level Requirements can be found in the </w:t>
      </w:r>
      <w:hyperlink r:id="rId23" w:history="1">
        <w:r w:rsidR="00EE1BC0">
          <w:rPr>
            <w:rStyle w:val="Hyperlink"/>
            <w:sz w:val="24"/>
          </w:rPr>
          <w:t>Genisis</w:t>
        </w:r>
        <w:r w:rsidR="00911696">
          <w:rPr>
            <w:rStyle w:val="Hyperlink"/>
            <w:sz w:val="24"/>
          </w:rPr>
          <w:t>2</w:t>
        </w:r>
        <w:r w:rsidRPr="00F21872">
          <w:rPr>
            <w:rStyle w:val="Hyperlink"/>
            <w:sz w:val="24"/>
          </w:rPr>
          <w:t xml:space="preserve"> Business Requirements Document</w:t>
        </w:r>
      </w:hyperlink>
      <w:r>
        <w:rPr>
          <w:sz w:val="24"/>
        </w:rPr>
        <w:t xml:space="preserve">.  </w:t>
      </w:r>
      <w:r w:rsidRPr="00BF4946">
        <w:rPr>
          <w:sz w:val="24"/>
        </w:rPr>
        <w:t xml:space="preserve">The new or updated Service Level Agreements (SLAs) will be determined by the </w:t>
      </w:r>
      <w:r w:rsidR="00EE1BC0">
        <w:rPr>
          <w:sz w:val="24"/>
        </w:rPr>
        <w:t>Genisis</w:t>
      </w:r>
      <w:r w:rsidR="00520485">
        <w:rPr>
          <w:sz w:val="24"/>
        </w:rPr>
        <w:t>2</w:t>
      </w:r>
      <w:r w:rsidRPr="00BF4946">
        <w:rPr>
          <w:sz w:val="24"/>
        </w:rPr>
        <w:t xml:space="preserve"> management team.</w:t>
      </w:r>
    </w:p>
    <w:p w:rsidR="00440AFF" w:rsidRDefault="00440AFF" w:rsidP="00440AFF">
      <w:pPr>
        <w:pStyle w:val="BodyText"/>
      </w:pPr>
    </w:p>
    <w:p w:rsidR="00440AFF" w:rsidRDefault="00440AFF" w:rsidP="00440AFF">
      <w:pPr>
        <w:pStyle w:val="Heading1"/>
        <w:pageBreakBefore w:val="0"/>
      </w:pPr>
      <w:bookmarkStart w:id="14" w:name="_Toc485322800"/>
      <w:r>
        <w:t>End User Support and Training</w:t>
      </w:r>
      <w:bookmarkEnd w:id="14"/>
    </w:p>
    <w:p w:rsidR="00E67D7D" w:rsidRPr="00E67D7D" w:rsidRDefault="00E67D7D" w:rsidP="00E67D7D">
      <w:pPr>
        <w:spacing w:before="120" w:after="120"/>
        <w:rPr>
          <w:color w:val="auto"/>
          <w:sz w:val="24"/>
          <w:szCs w:val="20"/>
        </w:rPr>
      </w:pPr>
      <w:r w:rsidRPr="00E67D7D">
        <w:rPr>
          <w:color w:val="auto"/>
          <w:sz w:val="24"/>
          <w:szCs w:val="20"/>
        </w:rPr>
        <w:t xml:space="preserve">The following table lists the training requirements, as stated in the </w:t>
      </w:r>
      <w:hyperlink r:id="rId24" w:history="1">
        <w:r w:rsidR="00EE1BC0">
          <w:rPr>
            <w:color w:val="0000FF"/>
            <w:sz w:val="24"/>
            <w:szCs w:val="20"/>
            <w:u w:val="single"/>
          </w:rPr>
          <w:t>Genisis</w:t>
        </w:r>
        <w:r w:rsidR="00911696">
          <w:rPr>
            <w:color w:val="0000FF"/>
            <w:sz w:val="24"/>
            <w:szCs w:val="20"/>
            <w:u w:val="single"/>
          </w:rPr>
          <w:t>2</w:t>
        </w:r>
        <w:r w:rsidRPr="00E67D7D">
          <w:rPr>
            <w:color w:val="0000FF"/>
            <w:sz w:val="24"/>
            <w:szCs w:val="20"/>
            <w:u w:val="single"/>
          </w:rPr>
          <w:t xml:space="preserve"> Business Requirements Document (BRD)</w:t>
        </w:r>
      </w:hyperlink>
      <w:r w:rsidRPr="00E67D7D">
        <w:rPr>
          <w:color w:val="auto"/>
          <w:sz w:val="24"/>
          <w:szCs w:val="20"/>
        </w:rPr>
        <w:t>.</w:t>
      </w:r>
    </w:p>
    <w:p w:rsidR="00E67D7D" w:rsidRPr="00E67D7D" w:rsidRDefault="00E67D7D" w:rsidP="00E67D7D">
      <w:pPr>
        <w:keepNext/>
        <w:keepLines/>
        <w:spacing w:before="240" w:after="60"/>
        <w:jc w:val="center"/>
        <w:rPr>
          <w:rFonts w:ascii="Arial" w:hAnsi="Arial" w:cs="Arial"/>
          <w:b/>
          <w:bCs/>
          <w:sz w:val="20"/>
          <w:szCs w:val="20"/>
        </w:rPr>
      </w:pPr>
      <w:r w:rsidRPr="00E67D7D">
        <w:rPr>
          <w:rFonts w:ascii="Arial" w:hAnsi="Arial" w:cs="Arial"/>
          <w:b/>
          <w:bCs/>
          <w:sz w:val="20"/>
          <w:szCs w:val="20"/>
        </w:rPr>
        <w:t xml:space="preserve">Table </w:t>
      </w:r>
      <w:r w:rsidRPr="00E67D7D">
        <w:rPr>
          <w:rFonts w:ascii="Arial" w:hAnsi="Arial" w:cs="Arial"/>
          <w:b/>
          <w:bCs/>
          <w:sz w:val="20"/>
          <w:szCs w:val="20"/>
        </w:rPr>
        <w:fldChar w:fldCharType="begin"/>
      </w:r>
      <w:r w:rsidRPr="00E67D7D">
        <w:rPr>
          <w:rFonts w:ascii="Arial" w:hAnsi="Arial" w:cs="Arial"/>
          <w:b/>
          <w:bCs/>
          <w:sz w:val="20"/>
          <w:szCs w:val="20"/>
        </w:rPr>
        <w:instrText xml:space="preserve"> SEQ Table \* ARABIC </w:instrText>
      </w:r>
      <w:r w:rsidRPr="00E67D7D">
        <w:rPr>
          <w:rFonts w:ascii="Arial" w:hAnsi="Arial" w:cs="Arial"/>
          <w:b/>
          <w:bCs/>
          <w:sz w:val="20"/>
          <w:szCs w:val="20"/>
        </w:rPr>
        <w:fldChar w:fldCharType="separate"/>
      </w:r>
      <w:r w:rsidRPr="00E67D7D">
        <w:rPr>
          <w:rFonts w:ascii="Arial" w:hAnsi="Arial" w:cs="Arial"/>
          <w:b/>
          <w:bCs/>
          <w:noProof/>
          <w:sz w:val="20"/>
          <w:szCs w:val="20"/>
        </w:rPr>
        <w:t>5</w:t>
      </w:r>
      <w:r w:rsidRPr="00E67D7D">
        <w:rPr>
          <w:rFonts w:ascii="Arial" w:hAnsi="Arial" w:cs="Arial"/>
          <w:b/>
          <w:bCs/>
          <w:noProof/>
          <w:sz w:val="20"/>
          <w:szCs w:val="20"/>
        </w:rPr>
        <w:fldChar w:fldCharType="end"/>
      </w:r>
      <w:r w:rsidRPr="00E67D7D">
        <w:rPr>
          <w:rFonts w:ascii="Arial" w:hAnsi="Arial" w:cs="Arial"/>
          <w:b/>
          <w:bCs/>
          <w:sz w:val="20"/>
          <w:szCs w:val="20"/>
        </w:rPr>
        <w:t>: Training Requirements</w:t>
      </w:r>
    </w:p>
    <w:tbl>
      <w:tblPr>
        <w:tblStyle w:val="TableGrid"/>
        <w:tblW w:w="9355" w:type="dxa"/>
        <w:tblLayout w:type="fixed"/>
        <w:tblLook w:val="04A0" w:firstRow="1" w:lastRow="0" w:firstColumn="1" w:lastColumn="0" w:noHBand="0" w:noVBand="1"/>
        <w:tblCaption w:val="Training Requirements"/>
        <w:tblDescription w:val="This table lists the training requirements as stated in the Business Requirements Document (BRD)."/>
      </w:tblPr>
      <w:tblGrid>
        <w:gridCol w:w="1345"/>
        <w:gridCol w:w="2610"/>
        <w:gridCol w:w="5400"/>
      </w:tblGrid>
      <w:tr w:rsidR="00E67D7D" w:rsidRPr="00BB6A6A" w:rsidTr="00C84BD0">
        <w:trPr>
          <w:tblHeader/>
        </w:trPr>
        <w:tc>
          <w:tcPr>
            <w:tcW w:w="1345" w:type="dxa"/>
            <w:shd w:val="clear" w:color="auto" w:fill="F2F2F2" w:themeFill="background1" w:themeFillShade="F2"/>
          </w:tcPr>
          <w:p w:rsidR="00E67D7D" w:rsidRPr="00151E8F" w:rsidRDefault="00E67D7D" w:rsidP="00E67D7D">
            <w:pPr>
              <w:spacing w:before="60" w:after="60"/>
              <w:rPr>
                <w:rFonts w:ascii="Arial" w:hAnsi="Arial" w:cs="Arial"/>
                <w:b/>
                <w:color w:val="auto"/>
                <w:szCs w:val="22"/>
              </w:rPr>
            </w:pPr>
            <w:r w:rsidRPr="00151E8F">
              <w:rPr>
                <w:rFonts w:ascii="Arial" w:hAnsi="Arial" w:cs="Arial"/>
                <w:b/>
                <w:color w:val="auto"/>
                <w:szCs w:val="22"/>
              </w:rPr>
              <w:t>Identifier</w:t>
            </w:r>
          </w:p>
        </w:tc>
        <w:tc>
          <w:tcPr>
            <w:tcW w:w="2610" w:type="dxa"/>
            <w:shd w:val="clear" w:color="auto" w:fill="F2F2F2" w:themeFill="background1" w:themeFillShade="F2"/>
          </w:tcPr>
          <w:p w:rsidR="00E67D7D" w:rsidRPr="00151E8F" w:rsidRDefault="00E67D7D" w:rsidP="00E67D7D">
            <w:pPr>
              <w:spacing w:before="60" w:after="60"/>
              <w:rPr>
                <w:rFonts w:ascii="Arial" w:hAnsi="Arial" w:cs="Arial"/>
                <w:color w:val="auto"/>
                <w:szCs w:val="20"/>
              </w:rPr>
            </w:pPr>
            <w:r w:rsidRPr="00151E8F">
              <w:rPr>
                <w:rFonts w:ascii="Arial" w:hAnsi="Arial" w:cs="Arial"/>
                <w:b/>
                <w:color w:val="auto"/>
                <w:szCs w:val="20"/>
              </w:rPr>
              <w:t>Brief</w:t>
            </w:r>
            <w:r w:rsidRPr="00151E8F">
              <w:rPr>
                <w:rFonts w:ascii="Arial" w:hAnsi="Arial" w:cs="Arial"/>
                <w:color w:val="auto"/>
                <w:szCs w:val="20"/>
              </w:rPr>
              <w:t xml:space="preserve"> </w:t>
            </w:r>
            <w:r w:rsidRPr="00151E8F">
              <w:rPr>
                <w:rFonts w:ascii="Arial" w:hAnsi="Arial" w:cs="Arial"/>
                <w:b/>
                <w:color w:val="auto"/>
                <w:szCs w:val="20"/>
              </w:rPr>
              <w:t>Name</w:t>
            </w:r>
          </w:p>
        </w:tc>
        <w:tc>
          <w:tcPr>
            <w:tcW w:w="5400" w:type="dxa"/>
            <w:shd w:val="clear" w:color="auto" w:fill="F2F2F2" w:themeFill="background1" w:themeFillShade="F2"/>
          </w:tcPr>
          <w:p w:rsidR="00E67D7D" w:rsidRPr="00151E8F" w:rsidRDefault="00E67D7D" w:rsidP="00E67D7D">
            <w:pPr>
              <w:spacing w:before="60" w:after="60"/>
              <w:rPr>
                <w:rFonts w:ascii="Arial" w:hAnsi="Arial" w:cs="Arial"/>
                <w:color w:val="auto"/>
                <w:szCs w:val="20"/>
              </w:rPr>
            </w:pPr>
            <w:r w:rsidRPr="00151E8F">
              <w:rPr>
                <w:rFonts w:ascii="Arial" w:hAnsi="Arial" w:cs="Arial"/>
                <w:b/>
                <w:color w:val="auto"/>
                <w:szCs w:val="20"/>
              </w:rPr>
              <w:t>Requirement</w:t>
            </w:r>
          </w:p>
        </w:tc>
      </w:tr>
      <w:tr w:rsidR="00E67D7D" w:rsidRPr="00BB6A6A" w:rsidTr="00CD40E2">
        <w:tc>
          <w:tcPr>
            <w:tcW w:w="1345"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429609</w:t>
            </w:r>
          </w:p>
        </w:tc>
        <w:tc>
          <w:tcPr>
            <w:tcW w:w="2610"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Training Curriculum</w:t>
            </w:r>
          </w:p>
        </w:tc>
        <w:tc>
          <w:tcPr>
            <w:tcW w:w="5400"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The training curriculum provided by the applicable Program Office shall state the expected training and task completions time(s) for primary users and secondary users to become proficient at using any IT application or system that is enhanced or created as a result of this NSR.</w:t>
            </w:r>
          </w:p>
        </w:tc>
      </w:tr>
      <w:tr w:rsidR="00E67D7D" w:rsidRPr="00BB6A6A" w:rsidTr="00CD40E2">
        <w:tc>
          <w:tcPr>
            <w:tcW w:w="1345"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429610</w:t>
            </w:r>
          </w:p>
        </w:tc>
        <w:tc>
          <w:tcPr>
            <w:tcW w:w="2610"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 xml:space="preserve">Training </w:t>
            </w:r>
            <w:proofErr w:type="spellStart"/>
            <w:r w:rsidRPr="00151E8F">
              <w:rPr>
                <w:rFonts w:ascii="Arial" w:hAnsi="Arial" w:cs="Arial"/>
                <w:color w:val="auto"/>
                <w:szCs w:val="20"/>
              </w:rPr>
              <w:t>Curricula_User</w:t>
            </w:r>
            <w:proofErr w:type="spellEnd"/>
            <w:r w:rsidRPr="00151E8F">
              <w:rPr>
                <w:rFonts w:ascii="Arial" w:hAnsi="Arial" w:cs="Arial"/>
                <w:color w:val="auto"/>
                <w:szCs w:val="20"/>
              </w:rPr>
              <w:t xml:space="preserve"> </w:t>
            </w:r>
            <w:proofErr w:type="spellStart"/>
            <w:r w:rsidRPr="00151E8F">
              <w:rPr>
                <w:rFonts w:ascii="Arial" w:hAnsi="Arial" w:cs="Arial"/>
                <w:color w:val="auto"/>
                <w:szCs w:val="20"/>
              </w:rPr>
              <w:t>Manuals_Training</w:t>
            </w:r>
            <w:proofErr w:type="spellEnd"/>
            <w:r w:rsidRPr="00151E8F">
              <w:rPr>
                <w:rFonts w:ascii="Arial" w:hAnsi="Arial" w:cs="Arial"/>
                <w:color w:val="auto"/>
                <w:szCs w:val="20"/>
              </w:rPr>
              <w:t xml:space="preserve"> Tools</w:t>
            </w:r>
          </w:p>
        </w:tc>
        <w:tc>
          <w:tcPr>
            <w:tcW w:w="5400"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All training curricula, user manuals, and other training tools, shall be developed and/or updated by the applicable Program Office(s) and delivered to all levels of users prior to release of any IT application or system that is enhanced or created as a result of this NSR. The curricula shall also reflect necessary updates to business processes and procedures that are changed as a result of this NSR.</w:t>
            </w:r>
          </w:p>
        </w:tc>
      </w:tr>
      <w:tr w:rsidR="00E67D7D" w:rsidRPr="00BB6A6A" w:rsidTr="00CD40E2">
        <w:tc>
          <w:tcPr>
            <w:tcW w:w="1345"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392387</w:t>
            </w:r>
          </w:p>
        </w:tc>
        <w:tc>
          <w:tcPr>
            <w:tcW w:w="2610"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Training Curriculum</w:t>
            </w:r>
          </w:p>
        </w:tc>
        <w:tc>
          <w:tcPr>
            <w:tcW w:w="5400"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The training curriculum shall be provided in two hours or more of training time for primary users and secondary users to become proficient at using the application(s).  (As applicable.)</w:t>
            </w:r>
          </w:p>
        </w:tc>
      </w:tr>
      <w:tr w:rsidR="00E67D7D" w:rsidRPr="00E67D7D" w:rsidTr="00CD40E2">
        <w:tc>
          <w:tcPr>
            <w:tcW w:w="1345"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392375</w:t>
            </w:r>
          </w:p>
        </w:tc>
        <w:tc>
          <w:tcPr>
            <w:tcW w:w="2610"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Program Office Training</w:t>
            </w:r>
          </w:p>
        </w:tc>
        <w:tc>
          <w:tcPr>
            <w:tcW w:w="5400"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 xml:space="preserve">All training curricula, user manuals, and other training tools shall be </w:t>
            </w:r>
            <w:proofErr w:type="gramStart"/>
            <w:r w:rsidRPr="00151E8F">
              <w:rPr>
                <w:rFonts w:ascii="Arial" w:hAnsi="Arial" w:cs="Arial"/>
                <w:color w:val="auto"/>
                <w:szCs w:val="20"/>
              </w:rPr>
              <w:t>developed/updated</w:t>
            </w:r>
            <w:proofErr w:type="gramEnd"/>
            <w:r w:rsidRPr="00151E8F">
              <w:rPr>
                <w:rFonts w:ascii="Arial" w:hAnsi="Arial" w:cs="Arial"/>
                <w:color w:val="auto"/>
                <w:szCs w:val="20"/>
              </w:rPr>
              <w:t xml:space="preserve"> by the Program Office and delivered to all levels of users four weeks in advance of the release of the enhancement through mediums that will best support the sharing of information to all affected staff.  (As applicable.)</w:t>
            </w:r>
          </w:p>
        </w:tc>
      </w:tr>
    </w:tbl>
    <w:p w:rsidR="00440AFF" w:rsidRDefault="00440AFF" w:rsidP="00440AFF">
      <w:pPr>
        <w:pStyle w:val="BodyText"/>
      </w:pPr>
    </w:p>
    <w:p w:rsidR="00440AFF" w:rsidRDefault="00440AFF" w:rsidP="00440AFF">
      <w:pPr>
        <w:pStyle w:val="Heading1"/>
        <w:pageBreakBefore w:val="0"/>
      </w:pPr>
      <w:bookmarkStart w:id="15" w:name="_Toc485322801"/>
      <w:r>
        <w:t>Lifecycle Support Requirements</w:t>
      </w:r>
      <w:bookmarkEnd w:id="15"/>
    </w:p>
    <w:p w:rsidR="00440AFF" w:rsidRPr="00151E8F" w:rsidRDefault="00BB6A6A" w:rsidP="00440AFF">
      <w:pPr>
        <w:pStyle w:val="BodyText"/>
      </w:pPr>
      <w:proofErr w:type="gramStart"/>
      <w:r w:rsidRPr="00151E8F">
        <w:t>PMO to address this section.</w:t>
      </w:r>
      <w:proofErr w:type="gramEnd"/>
    </w:p>
    <w:p w:rsidR="00440AFF" w:rsidRPr="00151E8F" w:rsidRDefault="00440AFF" w:rsidP="00440AFF">
      <w:pPr>
        <w:pStyle w:val="Heading1"/>
        <w:pageBreakBefore w:val="0"/>
      </w:pPr>
      <w:bookmarkStart w:id="16" w:name="_Toc485322802"/>
      <w:r w:rsidRPr="00151E8F">
        <w:t>Architecture / Dependencies</w:t>
      </w:r>
      <w:bookmarkEnd w:id="16"/>
    </w:p>
    <w:p w:rsidR="00440AFF" w:rsidRPr="00151E8F" w:rsidRDefault="00F65C21" w:rsidP="00E0789A">
      <w:pPr>
        <w:spacing w:before="120"/>
      </w:pPr>
      <w:r w:rsidRPr="00151E8F">
        <w:rPr>
          <w:rStyle w:val="BodyTextChar"/>
        </w:rPr>
        <w:t>Refer to the Gen</w:t>
      </w:r>
      <w:r w:rsidR="00911696">
        <w:rPr>
          <w:rStyle w:val="BodyTextChar"/>
        </w:rPr>
        <w:t>isis2 SDD</w:t>
      </w:r>
      <w:r w:rsidRPr="00151E8F">
        <w:rPr>
          <w:rStyle w:val="BodyTextChar"/>
        </w:rPr>
        <w:t xml:space="preserve"> for details of architecture/dependen</w:t>
      </w:r>
      <w:r w:rsidR="00FF28B7">
        <w:rPr>
          <w:rStyle w:val="BodyTextChar"/>
        </w:rPr>
        <w:t xml:space="preserve">cies. </w:t>
      </w:r>
      <w:r w:rsidRPr="00151E8F">
        <w:rPr>
          <w:rStyle w:val="BodyTextChar"/>
        </w:rPr>
        <w:t>The approved Gen</w:t>
      </w:r>
      <w:r w:rsidR="00911696">
        <w:rPr>
          <w:rStyle w:val="BodyTextChar"/>
        </w:rPr>
        <w:t>isis</w:t>
      </w:r>
      <w:r w:rsidRPr="00151E8F">
        <w:rPr>
          <w:rStyle w:val="BodyTextChar"/>
        </w:rPr>
        <w:t>2 System Design Document (SDD)</w:t>
      </w:r>
      <w:r w:rsidR="00E90DED">
        <w:rPr>
          <w:rStyle w:val="BodyTextChar"/>
        </w:rPr>
        <w:t xml:space="preserve"> V </w:t>
      </w:r>
      <w:r w:rsidR="00587722">
        <w:rPr>
          <w:rStyle w:val="BodyTextChar"/>
        </w:rPr>
        <w:t>3</w:t>
      </w:r>
      <w:r w:rsidR="00E90DED">
        <w:rPr>
          <w:rStyle w:val="BodyTextChar"/>
        </w:rPr>
        <w:t xml:space="preserve">.0 </w:t>
      </w:r>
      <w:r w:rsidR="00FF28B7">
        <w:rPr>
          <w:rStyle w:val="BodyTextChar"/>
        </w:rPr>
        <w:t>was</w:t>
      </w:r>
      <w:r w:rsidR="00E90DED">
        <w:rPr>
          <w:rStyle w:val="BodyTextChar"/>
        </w:rPr>
        <w:t xml:space="preserve"> delivered in </w:t>
      </w:r>
      <w:proofErr w:type="gramStart"/>
      <w:r w:rsidR="00587722">
        <w:rPr>
          <w:rStyle w:val="BodyTextChar"/>
        </w:rPr>
        <w:t xml:space="preserve">June </w:t>
      </w:r>
      <w:r w:rsidR="00E90DED">
        <w:rPr>
          <w:rStyle w:val="BodyTextChar"/>
        </w:rPr>
        <w:t xml:space="preserve"> 2017</w:t>
      </w:r>
      <w:proofErr w:type="gramEnd"/>
      <w:r w:rsidRPr="00151E8F">
        <w:rPr>
          <w:rStyle w:val="BodyTextChar"/>
        </w:rPr>
        <w:t xml:space="preserve"> and </w:t>
      </w:r>
      <w:r w:rsidR="00FF28B7">
        <w:rPr>
          <w:rStyle w:val="BodyTextChar"/>
        </w:rPr>
        <w:t>is</w:t>
      </w:r>
      <w:r w:rsidRPr="00151E8F">
        <w:rPr>
          <w:rStyle w:val="BodyTextChar"/>
        </w:rPr>
        <w:t xml:space="preserve"> located on the</w:t>
      </w:r>
      <w:r w:rsidRPr="00151E8F">
        <w:rPr>
          <w:sz w:val="24"/>
        </w:rPr>
        <w:t xml:space="preserve"> </w:t>
      </w:r>
      <w:hyperlink r:id="rId25" w:history="1">
        <w:r w:rsidRPr="00151E8F">
          <w:rPr>
            <w:rStyle w:val="Hyperlink"/>
            <w:sz w:val="24"/>
          </w:rPr>
          <w:t>Gen</w:t>
        </w:r>
        <w:r w:rsidR="00911696">
          <w:rPr>
            <w:rStyle w:val="Hyperlink"/>
            <w:sz w:val="24"/>
          </w:rPr>
          <w:t>isis2</w:t>
        </w:r>
        <w:r w:rsidRPr="00151E8F">
          <w:rPr>
            <w:rStyle w:val="Hyperlink"/>
            <w:sz w:val="24"/>
          </w:rPr>
          <w:t xml:space="preserve"> TSPR project page</w:t>
        </w:r>
      </w:hyperlink>
      <w:r w:rsidRPr="00151E8F">
        <w:rPr>
          <w:iCs/>
          <w:sz w:val="24"/>
        </w:rPr>
        <w:t xml:space="preserve"> </w:t>
      </w:r>
      <w:r w:rsidRPr="00151E8F">
        <w:rPr>
          <w:rStyle w:val="BodyTextChar"/>
        </w:rPr>
        <w:t>and on the</w:t>
      </w:r>
      <w:r w:rsidRPr="00151E8F">
        <w:rPr>
          <w:iCs/>
          <w:sz w:val="24"/>
        </w:rPr>
        <w:t xml:space="preserve"> </w:t>
      </w:r>
      <w:hyperlink r:id="rId26" w:history="1">
        <w:r w:rsidRPr="00151E8F">
          <w:rPr>
            <w:rStyle w:val="Hyperlink"/>
            <w:sz w:val="24"/>
          </w:rPr>
          <w:t>Gen</w:t>
        </w:r>
        <w:r w:rsidR="00911696">
          <w:rPr>
            <w:rStyle w:val="Hyperlink"/>
            <w:sz w:val="24"/>
          </w:rPr>
          <w:t>isis2</w:t>
        </w:r>
        <w:r w:rsidRPr="00151E8F">
          <w:rPr>
            <w:rStyle w:val="Hyperlink"/>
            <w:sz w:val="24"/>
          </w:rPr>
          <w:t xml:space="preserve"> SharePoint site</w:t>
        </w:r>
      </w:hyperlink>
      <w:r w:rsidRPr="00151E8F">
        <w:rPr>
          <w:sz w:val="24"/>
        </w:rPr>
        <w:t>.</w:t>
      </w:r>
    </w:p>
    <w:p w:rsidR="00440AFF" w:rsidRPr="00151E8F" w:rsidRDefault="00440AFF" w:rsidP="00440AFF">
      <w:pPr>
        <w:pStyle w:val="Heading1"/>
        <w:pageBreakBefore w:val="0"/>
      </w:pPr>
      <w:bookmarkStart w:id="17" w:name="_Toc485322803"/>
      <w:r w:rsidRPr="00151E8F">
        <w:t>Anomaly / Risk Summary</w:t>
      </w:r>
      <w:bookmarkEnd w:id="17"/>
    </w:p>
    <w:p w:rsidR="00253AE3" w:rsidRPr="00151E8F" w:rsidRDefault="00253AE3" w:rsidP="00253AE3">
      <w:pPr>
        <w:spacing w:before="120" w:after="120"/>
        <w:rPr>
          <w:color w:val="auto"/>
          <w:sz w:val="24"/>
          <w:szCs w:val="20"/>
        </w:rPr>
      </w:pPr>
      <w:r w:rsidRPr="00151E8F">
        <w:rPr>
          <w:color w:val="auto"/>
          <w:sz w:val="24"/>
          <w:szCs w:val="20"/>
        </w:rPr>
        <w:t xml:space="preserve">Refer to the </w:t>
      </w:r>
      <w:hyperlink r:id="rId27" w:history="1">
        <w:r w:rsidRPr="00151E8F">
          <w:rPr>
            <w:color w:val="0000FF"/>
            <w:sz w:val="24"/>
            <w:szCs w:val="20"/>
            <w:u w:val="single"/>
          </w:rPr>
          <w:t>Gen</w:t>
        </w:r>
        <w:r w:rsidR="00911696">
          <w:rPr>
            <w:color w:val="0000FF"/>
            <w:sz w:val="24"/>
            <w:szCs w:val="20"/>
            <w:u w:val="single"/>
          </w:rPr>
          <w:t>isis2</w:t>
        </w:r>
        <w:r w:rsidRPr="00151E8F">
          <w:rPr>
            <w:color w:val="0000FF"/>
            <w:sz w:val="24"/>
            <w:szCs w:val="20"/>
            <w:u w:val="single"/>
          </w:rPr>
          <w:t xml:space="preserve"> risk registry</w:t>
        </w:r>
      </w:hyperlink>
      <w:bookmarkStart w:id="18" w:name="_GoBack"/>
      <w:bookmarkEnd w:id="18"/>
      <w:r w:rsidRPr="00151E8F">
        <w:rPr>
          <w:color w:val="auto"/>
          <w:sz w:val="24"/>
          <w:szCs w:val="20"/>
        </w:rPr>
        <w:t xml:space="preserve"> for the risk summary. Future architec</w:t>
      </w:r>
      <w:r w:rsidR="00151E8F">
        <w:rPr>
          <w:color w:val="auto"/>
          <w:sz w:val="24"/>
          <w:szCs w:val="20"/>
        </w:rPr>
        <w:t>tural reviews will determine Genisis2 full ongoing</w:t>
      </w:r>
      <w:r w:rsidRPr="00151E8F">
        <w:rPr>
          <w:color w:val="auto"/>
          <w:sz w:val="24"/>
          <w:szCs w:val="20"/>
        </w:rPr>
        <w:t xml:space="preserve"> complian</w:t>
      </w:r>
      <w:r w:rsidR="00151E8F">
        <w:rPr>
          <w:color w:val="auto"/>
          <w:sz w:val="24"/>
          <w:szCs w:val="20"/>
        </w:rPr>
        <w:t>ce</w:t>
      </w:r>
      <w:r w:rsidRPr="00151E8F">
        <w:rPr>
          <w:color w:val="auto"/>
          <w:sz w:val="24"/>
          <w:szCs w:val="20"/>
        </w:rPr>
        <w:t xml:space="preserve"> with the OIT Enterprise Architecture.</w:t>
      </w:r>
    </w:p>
    <w:p w:rsidR="00253AE3" w:rsidRPr="00151E8F" w:rsidRDefault="00253AE3" w:rsidP="00253AE3">
      <w:pPr>
        <w:spacing w:before="120" w:after="120"/>
        <w:rPr>
          <w:color w:val="auto"/>
          <w:sz w:val="24"/>
          <w:szCs w:val="20"/>
        </w:rPr>
      </w:pPr>
      <w:r w:rsidRPr="00151E8F">
        <w:rPr>
          <w:color w:val="auto"/>
          <w:sz w:val="24"/>
          <w:szCs w:val="20"/>
        </w:rPr>
        <w:t xml:space="preserve">Risks and issues are solicited from management and team members to ensure any risks associated with delivery are identified early and proactively mitigated. The status of </w:t>
      </w:r>
      <w:r w:rsidR="00EE1BC0">
        <w:rPr>
          <w:color w:val="auto"/>
          <w:sz w:val="24"/>
          <w:szCs w:val="20"/>
        </w:rPr>
        <w:t>Genisis</w:t>
      </w:r>
      <w:r w:rsidR="00FA3499">
        <w:rPr>
          <w:color w:val="auto"/>
          <w:sz w:val="24"/>
          <w:szCs w:val="20"/>
        </w:rPr>
        <w:t>2</w:t>
      </w:r>
      <w:r w:rsidRPr="00151E8F">
        <w:rPr>
          <w:color w:val="auto"/>
          <w:sz w:val="24"/>
          <w:szCs w:val="20"/>
        </w:rPr>
        <w:t xml:space="preserve"> risks and issues are reviewed and updated weekly and escalated to senior management as appropriate. Below are the top </w:t>
      </w:r>
      <w:r w:rsidR="00EE1BC0">
        <w:rPr>
          <w:color w:val="auto"/>
          <w:sz w:val="24"/>
          <w:szCs w:val="20"/>
        </w:rPr>
        <w:t>Genisis</w:t>
      </w:r>
      <w:r w:rsidR="00FA3499">
        <w:rPr>
          <w:color w:val="auto"/>
          <w:sz w:val="24"/>
          <w:szCs w:val="20"/>
        </w:rPr>
        <w:t>2</w:t>
      </w:r>
      <w:r w:rsidRPr="00151E8F">
        <w:rPr>
          <w:color w:val="auto"/>
          <w:sz w:val="24"/>
          <w:szCs w:val="20"/>
        </w:rPr>
        <w:t xml:space="preserve"> tracked risks and issues that have potential impacts to successful delivery and deployment readiness.</w:t>
      </w:r>
    </w:p>
    <w:p w:rsidR="00253AE3" w:rsidRPr="00151E8F" w:rsidRDefault="00253AE3" w:rsidP="00253AE3">
      <w:pPr>
        <w:spacing w:before="120" w:after="120"/>
        <w:rPr>
          <w:color w:val="auto"/>
          <w:sz w:val="24"/>
          <w:szCs w:val="20"/>
        </w:rPr>
      </w:pPr>
      <w:r w:rsidRPr="00151E8F">
        <w:rPr>
          <w:color w:val="auto"/>
          <w:sz w:val="24"/>
          <w:szCs w:val="20"/>
        </w:rPr>
        <w:t xml:space="preserve">Details of the </w:t>
      </w:r>
      <w:r w:rsidR="00EE1BC0">
        <w:rPr>
          <w:color w:val="auto"/>
          <w:sz w:val="24"/>
          <w:szCs w:val="20"/>
        </w:rPr>
        <w:t>Genisis</w:t>
      </w:r>
      <w:r w:rsidR="00911696">
        <w:rPr>
          <w:color w:val="auto"/>
          <w:sz w:val="24"/>
          <w:szCs w:val="20"/>
        </w:rPr>
        <w:t>2</w:t>
      </w:r>
      <w:r w:rsidRPr="00151E8F">
        <w:rPr>
          <w:color w:val="auto"/>
          <w:sz w:val="24"/>
          <w:szCs w:val="20"/>
        </w:rPr>
        <w:t xml:space="preserve"> risks are outlined in the </w:t>
      </w:r>
      <w:r w:rsidR="00EE1BC0">
        <w:rPr>
          <w:color w:val="auto"/>
          <w:sz w:val="24"/>
          <w:szCs w:val="20"/>
        </w:rPr>
        <w:t>Genisis</w:t>
      </w:r>
      <w:r w:rsidR="00911696">
        <w:rPr>
          <w:color w:val="auto"/>
          <w:sz w:val="24"/>
          <w:szCs w:val="20"/>
        </w:rPr>
        <w:t>2</w:t>
      </w:r>
      <w:r w:rsidRPr="00151E8F">
        <w:rPr>
          <w:color w:val="auto"/>
          <w:sz w:val="24"/>
          <w:szCs w:val="20"/>
        </w:rPr>
        <w:t xml:space="preserve"> Risk Register.</w:t>
      </w:r>
    </w:p>
    <w:p w:rsidR="00253AE3" w:rsidRPr="00151E8F" w:rsidRDefault="00253AE3" w:rsidP="00253AE3">
      <w:pPr>
        <w:spacing w:before="120" w:after="120"/>
        <w:rPr>
          <w:color w:val="auto"/>
          <w:sz w:val="24"/>
          <w:szCs w:val="20"/>
        </w:rPr>
      </w:pPr>
      <w:r w:rsidRPr="00151E8F">
        <w:rPr>
          <w:color w:val="auto"/>
          <w:sz w:val="24"/>
          <w:szCs w:val="20"/>
        </w:rPr>
        <w:t xml:space="preserve">Risks for </w:t>
      </w:r>
      <w:r w:rsidR="00EE1BC0">
        <w:rPr>
          <w:color w:val="auto"/>
          <w:sz w:val="24"/>
          <w:szCs w:val="20"/>
        </w:rPr>
        <w:t>Genisis</w:t>
      </w:r>
      <w:r w:rsidR="00911696">
        <w:rPr>
          <w:color w:val="auto"/>
          <w:sz w:val="24"/>
          <w:szCs w:val="20"/>
        </w:rPr>
        <w:t>2</w:t>
      </w:r>
      <w:r w:rsidRPr="00151E8F">
        <w:rPr>
          <w:color w:val="auto"/>
          <w:sz w:val="24"/>
          <w:szCs w:val="20"/>
        </w:rPr>
        <w:t xml:space="preserve"> include:</w:t>
      </w:r>
    </w:p>
    <w:p w:rsidR="00253AE3" w:rsidRPr="00151E8F" w:rsidRDefault="00253AE3" w:rsidP="00253AE3">
      <w:pPr>
        <w:numPr>
          <w:ilvl w:val="0"/>
          <w:numId w:val="34"/>
        </w:numPr>
        <w:autoSpaceDE w:val="0"/>
        <w:autoSpaceDN w:val="0"/>
        <w:adjustRightInd w:val="0"/>
        <w:contextualSpacing/>
        <w:rPr>
          <w:color w:val="000000"/>
          <w:sz w:val="24"/>
        </w:rPr>
      </w:pPr>
      <w:r w:rsidRPr="00151E8F">
        <w:rPr>
          <w:color w:val="000000"/>
          <w:sz w:val="24"/>
        </w:rPr>
        <w:t>If emergent VA data-at-rest encryption requirements demand unplanned resources for</w:t>
      </w:r>
      <w:r w:rsidR="00911696">
        <w:rPr>
          <w:color w:val="000000"/>
          <w:sz w:val="24"/>
        </w:rPr>
        <w:t xml:space="preserve"> </w:t>
      </w:r>
      <w:r w:rsidRPr="00151E8F">
        <w:rPr>
          <w:color w:val="000000"/>
          <w:sz w:val="24"/>
        </w:rPr>
        <w:t xml:space="preserve">implementation, then the </w:t>
      </w:r>
      <w:r w:rsidR="00EE1BC0">
        <w:rPr>
          <w:color w:val="000000"/>
          <w:sz w:val="24"/>
        </w:rPr>
        <w:t>Genisis</w:t>
      </w:r>
      <w:r w:rsidR="00911696">
        <w:rPr>
          <w:color w:val="000000"/>
          <w:sz w:val="24"/>
        </w:rPr>
        <w:t>2</w:t>
      </w:r>
      <w:r w:rsidRPr="00151E8F">
        <w:rPr>
          <w:color w:val="000000"/>
          <w:sz w:val="24"/>
        </w:rPr>
        <w:t xml:space="preserve"> project schedule may be impacted.</w:t>
      </w:r>
    </w:p>
    <w:p w:rsidR="00253AE3" w:rsidRPr="00151E8F" w:rsidRDefault="00253AE3" w:rsidP="00253AE3">
      <w:pPr>
        <w:numPr>
          <w:ilvl w:val="0"/>
          <w:numId w:val="34"/>
        </w:numPr>
        <w:autoSpaceDE w:val="0"/>
        <w:autoSpaceDN w:val="0"/>
        <w:adjustRightInd w:val="0"/>
        <w:contextualSpacing/>
        <w:rPr>
          <w:color w:val="000000"/>
          <w:sz w:val="24"/>
        </w:rPr>
      </w:pPr>
      <w:r w:rsidRPr="00151E8F">
        <w:rPr>
          <w:color w:val="000000"/>
          <w:sz w:val="24"/>
        </w:rPr>
        <w:t xml:space="preserve">If plans or schedules for externally dependent projects cannot accommodate required activities for </w:t>
      </w:r>
      <w:r w:rsidR="00EE1BC0">
        <w:rPr>
          <w:color w:val="000000"/>
          <w:sz w:val="24"/>
        </w:rPr>
        <w:t>Genisis</w:t>
      </w:r>
      <w:r w:rsidR="00911696">
        <w:rPr>
          <w:color w:val="000000"/>
          <w:sz w:val="24"/>
        </w:rPr>
        <w:t>2</w:t>
      </w:r>
      <w:r w:rsidRPr="00151E8F">
        <w:rPr>
          <w:color w:val="000000"/>
          <w:sz w:val="24"/>
        </w:rPr>
        <w:t>, then schedule delays or scope reduction may occur.</w:t>
      </w:r>
    </w:p>
    <w:p w:rsidR="00253AE3" w:rsidRPr="00151E8F" w:rsidRDefault="00253AE3" w:rsidP="00253AE3">
      <w:pPr>
        <w:numPr>
          <w:ilvl w:val="0"/>
          <w:numId w:val="34"/>
        </w:numPr>
        <w:autoSpaceDE w:val="0"/>
        <w:autoSpaceDN w:val="0"/>
        <w:adjustRightInd w:val="0"/>
        <w:contextualSpacing/>
        <w:rPr>
          <w:color w:val="000000"/>
          <w:sz w:val="24"/>
        </w:rPr>
      </w:pPr>
      <w:r w:rsidRPr="00151E8F">
        <w:rPr>
          <w:color w:val="000000"/>
          <w:sz w:val="24"/>
        </w:rPr>
        <w:t>If consumer or producer resources (including personnel, network, and data connections) are not 100% available, then a schedule delay may occur, or scope may be reduced.</w:t>
      </w:r>
    </w:p>
    <w:p w:rsidR="00440AFF" w:rsidRPr="00151E8F" w:rsidRDefault="00440AFF" w:rsidP="00440AFF">
      <w:pPr>
        <w:pStyle w:val="BodyText"/>
      </w:pPr>
    </w:p>
    <w:p w:rsidR="00440AFF" w:rsidRPr="00151E8F" w:rsidRDefault="00440AFF" w:rsidP="00440AFF">
      <w:pPr>
        <w:pStyle w:val="Heading1"/>
        <w:pageBreakBefore w:val="0"/>
      </w:pPr>
      <w:bookmarkStart w:id="19" w:name="_Toc485322804"/>
      <w:r w:rsidRPr="00151E8F">
        <w:t>OAP Signatures</w:t>
      </w:r>
      <w:bookmarkEnd w:id="19"/>
      <w:r w:rsidRPr="00151E8F">
        <w:t xml:space="preserve">  </w:t>
      </w:r>
    </w:p>
    <w:p w:rsidR="005472FC" w:rsidRPr="00151E8F" w:rsidRDefault="005472FC" w:rsidP="005472FC">
      <w:pPr>
        <w:keepLines/>
        <w:autoSpaceDE w:val="0"/>
        <w:autoSpaceDN w:val="0"/>
        <w:adjustRightInd w:val="0"/>
        <w:spacing w:before="60" w:after="120" w:line="240" w:lineRule="atLeast"/>
        <w:rPr>
          <w:i/>
          <w:iCs/>
          <w:color w:val="0000FF"/>
          <w:sz w:val="24"/>
          <w:szCs w:val="20"/>
        </w:rPr>
      </w:pPr>
      <w:r w:rsidRPr="00151E8F">
        <w:rPr>
          <w:i/>
          <w:iCs/>
          <w:color w:val="0000FF"/>
          <w:sz w:val="24"/>
          <w:szCs w:val="20"/>
        </w:rPr>
        <w:t>Once the text of the Operational Acceptance Plan is finalized and approved, signature pages will be added by the Lifecycle Management team. The ESE Lifecycle Manager will then circulate the document to all appropriate parties for their signature. The project teams should NOT collect signatures for this document.</w:t>
      </w:r>
    </w:p>
    <w:p w:rsidR="00151E8F" w:rsidRPr="00261056" w:rsidRDefault="00261056" w:rsidP="00151E8F">
      <w:pPr>
        <w:pStyle w:val="InstructionalBullet1"/>
        <w:numPr>
          <w:ilvl w:val="0"/>
          <w:numId w:val="0"/>
        </w:numPr>
        <w:rPr>
          <w:i w:val="0"/>
          <w:color w:val="auto"/>
        </w:rPr>
      </w:pPr>
      <w:r>
        <w:rPr>
          <w:i w:val="0"/>
          <w:color w:val="auto"/>
        </w:rPr>
        <w:t>REVIEW DATE:</w:t>
      </w:r>
    </w:p>
    <w:p w:rsidR="00151E8F" w:rsidRPr="00261056" w:rsidRDefault="00151E8F" w:rsidP="00151E8F">
      <w:pPr>
        <w:pStyle w:val="InstructionalBullet1"/>
        <w:numPr>
          <w:ilvl w:val="0"/>
          <w:numId w:val="0"/>
        </w:numPr>
        <w:rPr>
          <w:i w:val="0"/>
          <w:color w:val="auto"/>
        </w:rPr>
      </w:pPr>
      <w:r w:rsidRPr="00261056">
        <w:rPr>
          <w:i w:val="0"/>
          <w:color w:val="auto"/>
        </w:rPr>
        <w:t xml:space="preserve">SCRIBE: </w:t>
      </w:r>
    </w:p>
    <w:p w:rsidR="00151E8F" w:rsidRPr="00151E8F" w:rsidRDefault="00151E8F" w:rsidP="00151E8F">
      <w:pPr>
        <w:pStyle w:val="InstructionalBullet1"/>
        <w:numPr>
          <w:ilvl w:val="0"/>
          <w:numId w:val="0"/>
        </w:numPr>
        <w:ind w:left="547"/>
        <w:rPr>
          <w:i w:val="0"/>
          <w:color w:val="auto"/>
        </w:rPr>
      </w:pPr>
    </w:p>
    <w:p w:rsidR="00151E8F" w:rsidRPr="00151E8F" w:rsidRDefault="00151E8F" w:rsidP="00151E8F">
      <w:pPr>
        <w:pStyle w:val="InstructionalBullet1"/>
        <w:numPr>
          <w:ilvl w:val="0"/>
          <w:numId w:val="0"/>
        </w:numPr>
        <w:ind w:left="547"/>
        <w:rPr>
          <w:i w:val="0"/>
          <w:color w:val="auto"/>
        </w:rPr>
      </w:pPr>
      <w:r w:rsidRPr="00151E8F">
        <w:rPr>
          <w:i w:val="0"/>
          <w:color w:val="auto"/>
        </w:rPr>
        <w:t>Signed: _______________________________________________________________________</w:t>
      </w:r>
    </w:p>
    <w:p w:rsidR="00151E8F" w:rsidRPr="00151E8F" w:rsidRDefault="00261056" w:rsidP="00151E8F">
      <w:pPr>
        <w:pStyle w:val="InstructionalBullet1"/>
        <w:numPr>
          <w:ilvl w:val="0"/>
          <w:numId w:val="0"/>
        </w:numPr>
        <w:ind w:left="547"/>
        <w:rPr>
          <w:i w:val="0"/>
          <w:color w:val="auto"/>
        </w:rPr>
      </w:pPr>
      <w:r w:rsidRPr="00261056">
        <w:rPr>
          <w:i w:val="0"/>
          <w:color w:val="auto"/>
        </w:rPr>
        <w:t>Project Team Project Manager (Katie Thomas)</w:t>
      </w:r>
      <w:r w:rsidR="00151E8F" w:rsidRPr="00151E8F">
        <w:rPr>
          <w:i w:val="0"/>
          <w:color w:val="auto"/>
        </w:rPr>
        <w:tab/>
      </w:r>
      <w:r>
        <w:rPr>
          <w:i w:val="0"/>
          <w:color w:val="auto"/>
        </w:rPr>
        <w:tab/>
      </w:r>
      <w:r w:rsidR="00151E8F">
        <w:rPr>
          <w:i w:val="0"/>
          <w:color w:val="auto"/>
        </w:rPr>
        <w:tab/>
      </w:r>
      <w:r w:rsidR="00151E8F">
        <w:rPr>
          <w:i w:val="0"/>
          <w:color w:val="auto"/>
        </w:rPr>
        <w:tab/>
      </w:r>
      <w:r w:rsidR="00151E8F" w:rsidRPr="00151E8F">
        <w:rPr>
          <w:i w:val="0"/>
          <w:color w:val="auto"/>
        </w:rPr>
        <w:t>Date</w:t>
      </w:r>
    </w:p>
    <w:p w:rsidR="00151E8F" w:rsidRPr="00151E8F" w:rsidRDefault="00151E8F" w:rsidP="00151E8F">
      <w:pPr>
        <w:pStyle w:val="InstructionalBullet1"/>
        <w:numPr>
          <w:ilvl w:val="0"/>
          <w:numId w:val="0"/>
        </w:numPr>
        <w:ind w:left="547"/>
        <w:rPr>
          <w:i w:val="0"/>
          <w:color w:val="auto"/>
        </w:rPr>
      </w:pPr>
    </w:p>
    <w:p w:rsidR="00151E8F" w:rsidRPr="00151E8F" w:rsidRDefault="00151E8F" w:rsidP="00151E8F">
      <w:pPr>
        <w:pStyle w:val="InstructionalBullet1"/>
        <w:numPr>
          <w:ilvl w:val="0"/>
          <w:numId w:val="0"/>
        </w:numPr>
        <w:ind w:left="547"/>
        <w:rPr>
          <w:i w:val="0"/>
          <w:color w:val="auto"/>
        </w:rPr>
      </w:pPr>
      <w:r w:rsidRPr="00151E8F">
        <w:rPr>
          <w:i w:val="0"/>
          <w:color w:val="auto"/>
        </w:rPr>
        <w:lastRenderedPageBreak/>
        <w:t>Signed: _______________________________________________________________________</w:t>
      </w:r>
    </w:p>
    <w:p w:rsidR="00151E8F" w:rsidRPr="00151E8F" w:rsidRDefault="00261056" w:rsidP="00151E8F">
      <w:pPr>
        <w:pStyle w:val="InstructionalBullet1"/>
        <w:numPr>
          <w:ilvl w:val="0"/>
          <w:numId w:val="0"/>
        </w:numPr>
        <w:ind w:left="547"/>
        <w:rPr>
          <w:i w:val="0"/>
          <w:color w:val="auto"/>
        </w:rPr>
      </w:pPr>
      <w:r w:rsidRPr="00261056">
        <w:rPr>
          <w:i w:val="0"/>
          <w:color w:val="auto"/>
        </w:rPr>
        <w:t>SDE P</w:t>
      </w:r>
      <w:r>
        <w:rPr>
          <w:i w:val="0"/>
          <w:color w:val="auto"/>
        </w:rPr>
        <w:t xml:space="preserve">AO Project Manager (Karen </w:t>
      </w:r>
      <w:proofErr w:type="spellStart"/>
      <w:r>
        <w:rPr>
          <w:i w:val="0"/>
          <w:color w:val="auto"/>
        </w:rPr>
        <w:t>Leake</w:t>
      </w:r>
      <w:proofErr w:type="spellEnd"/>
      <w:r>
        <w:rPr>
          <w:i w:val="0"/>
          <w:color w:val="auto"/>
        </w:rPr>
        <w:t>)</w:t>
      </w:r>
      <w:r>
        <w:rPr>
          <w:i w:val="0"/>
          <w:color w:val="auto"/>
        </w:rPr>
        <w:tab/>
      </w:r>
      <w:r>
        <w:rPr>
          <w:i w:val="0"/>
          <w:color w:val="auto"/>
        </w:rPr>
        <w:tab/>
      </w:r>
      <w:r>
        <w:rPr>
          <w:i w:val="0"/>
          <w:color w:val="auto"/>
        </w:rPr>
        <w:tab/>
      </w:r>
      <w:r>
        <w:rPr>
          <w:i w:val="0"/>
          <w:color w:val="auto"/>
        </w:rPr>
        <w:tab/>
      </w:r>
      <w:r>
        <w:rPr>
          <w:i w:val="0"/>
          <w:color w:val="auto"/>
        </w:rPr>
        <w:tab/>
      </w:r>
      <w:r w:rsidR="00151E8F" w:rsidRPr="00151E8F">
        <w:rPr>
          <w:i w:val="0"/>
          <w:color w:val="auto"/>
        </w:rPr>
        <w:t>Date</w:t>
      </w:r>
    </w:p>
    <w:p w:rsidR="00151E8F" w:rsidRPr="00151E8F" w:rsidRDefault="00151E8F" w:rsidP="00151E8F">
      <w:pPr>
        <w:pStyle w:val="InstructionalBullet1"/>
        <w:numPr>
          <w:ilvl w:val="0"/>
          <w:numId w:val="0"/>
        </w:numPr>
        <w:ind w:left="547"/>
        <w:rPr>
          <w:i w:val="0"/>
          <w:color w:val="auto"/>
        </w:rPr>
      </w:pPr>
    </w:p>
    <w:p w:rsidR="00151E8F" w:rsidRPr="00151E8F" w:rsidRDefault="00151E8F" w:rsidP="00151E8F">
      <w:pPr>
        <w:pStyle w:val="InstructionalBullet1"/>
        <w:numPr>
          <w:ilvl w:val="0"/>
          <w:numId w:val="0"/>
        </w:numPr>
        <w:ind w:left="547"/>
        <w:rPr>
          <w:i w:val="0"/>
          <w:color w:val="auto"/>
        </w:rPr>
      </w:pPr>
      <w:r w:rsidRPr="00151E8F">
        <w:rPr>
          <w:i w:val="0"/>
          <w:color w:val="auto"/>
        </w:rPr>
        <w:t>Signed: _______________________________________________________________________</w:t>
      </w:r>
    </w:p>
    <w:p w:rsidR="00151E8F" w:rsidRPr="00151E8F" w:rsidRDefault="00151E8F" w:rsidP="00151E8F">
      <w:pPr>
        <w:pStyle w:val="InstructionalBullet1"/>
        <w:numPr>
          <w:ilvl w:val="0"/>
          <w:numId w:val="0"/>
        </w:numPr>
        <w:ind w:left="547"/>
        <w:rPr>
          <w:i w:val="0"/>
          <w:color w:val="auto"/>
        </w:rPr>
      </w:pPr>
      <w:r w:rsidRPr="00151E8F">
        <w:rPr>
          <w:i w:val="0"/>
          <w:color w:val="auto"/>
        </w:rPr>
        <w:t>Receiving Organization (Operations Support)</w:t>
      </w:r>
      <w:r w:rsidRPr="00151E8F">
        <w:rPr>
          <w:i w:val="0"/>
          <w:color w:val="auto"/>
        </w:rPr>
        <w:tab/>
      </w:r>
      <w:r>
        <w:rPr>
          <w:i w:val="0"/>
          <w:color w:val="auto"/>
        </w:rPr>
        <w:tab/>
      </w:r>
      <w:r>
        <w:rPr>
          <w:i w:val="0"/>
          <w:color w:val="auto"/>
        </w:rPr>
        <w:tab/>
      </w:r>
      <w:r>
        <w:rPr>
          <w:i w:val="0"/>
          <w:color w:val="auto"/>
        </w:rPr>
        <w:tab/>
      </w:r>
      <w:r>
        <w:rPr>
          <w:i w:val="0"/>
          <w:color w:val="auto"/>
        </w:rPr>
        <w:tab/>
      </w:r>
      <w:r w:rsidRPr="00151E8F">
        <w:rPr>
          <w:i w:val="0"/>
          <w:color w:val="auto"/>
        </w:rPr>
        <w:t>Date</w:t>
      </w:r>
    </w:p>
    <w:p w:rsidR="00151E8F" w:rsidRPr="00151E8F" w:rsidRDefault="00151E8F" w:rsidP="00151E8F">
      <w:pPr>
        <w:pStyle w:val="InstructionalBullet1"/>
        <w:numPr>
          <w:ilvl w:val="0"/>
          <w:numId w:val="0"/>
        </w:numPr>
        <w:ind w:left="547"/>
        <w:rPr>
          <w:i w:val="0"/>
          <w:color w:val="auto"/>
        </w:rPr>
      </w:pPr>
    </w:p>
    <w:p w:rsidR="00151E8F" w:rsidRPr="00151E8F" w:rsidRDefault="00151E8F" w:rsidP="00151E8F">
      <w:pPr>
        <w:pStyle w:val="InstructionalBullet1"/>
        <w:numPr>
          <w:ilvl w:val="0"/>
          <w:numId w:val="0"/>
        </w:numPr>
        <w:ind w:left="547"/>
        <w:rPr>
          <w:i w:val="0"/>
          <w:color w:val="auto"/>
        </w:rPr>
      </w:pPr>
      <w:r w:rsidRPr="00151E8F">
        <w:rPr>
          <w:i w:val="0"/>
          <w:color w:val="auto"/>
        </w:rPr>
        <w:t>Signed: _______________________________________________________________________</w:t>
      </w:r>
    </w:p>
    <w:p w:rsidR="00151E8F" w:rsidRPr="00151E8F" w:rsidRDefault="00261056" w:rsidP="00151E8F">
      <w:pPr>
        <w:pStyle w:val="InstructionalBullet1"/>
        <w:numPr>
          <w:ilvl w:val="0"/>
          <w:numId w:val="0"/>
        </w:numPr>
        <w:ind w:left="547"/>
        <w:rPr>
          <w:i w:val="0"/>
          <w:color w:val="auto"/>
        </w:rPr>
        <w:sectPr w:rsidR="00151E8F" w:rsidRPr="00151E8F" w:rsidSect="0066022A">
          <w:pgSz w:w="12240" w:h="15840" w:code="1"/>
          <w:pgMar w:top="1440" w:right="1440" w:bottom="1440" w:left="1440" w:header="720" w:footer="720" w:gutter="0"/>
          <w:pgNumType w:start="1"/>
          <w:cols w:space="720"/>
          <w:docGrid w:linePitch="360"/>
        </w:sectPr>
      </w:pPr>
      <w:r>
        <w:rPr>
          <w:i w:val="0"/>
          <w:color w:val="auto"/>
        </w:rPr>
        <w:t>Product Support</w:t>
      </w:r>
      <w:r>
        <w:rPr>
          <w:i w:val="0"/>
          <w:color w:val="auto"/>
        </w:rPr>
        <w:tab/>
      </w:r>
      <w:r>
        <w:rPr>
          <w:i w:val="0"/>
          <w:color w:val="auto"/>
        </w:rPr>
        <w:tab/>
      </w:r>
      <w:r>
        <w:rPr>
          <w:i w:val="0"/>
          <w:color w:val="auto"/>
        </w:rPr>
        <w:tab/>
      </w:r>
      <w:r>
        <w:rPr>
          <w:i w:val="0"/>
          <w:color w:val="auto"/>
        </w:rPr>
        <w:tab/>
      </w:r>
      <w:r>
        <w:rPr>
          <w:i w:val="0"/>
          <w:color w:val="auto"/>
        </w:rPr>
        <w:tab/>
      </w:r>
      <w:r>
        <w:rPr>
          <w:i w:val="0"/>
          <w:color w:val="auto"/>
        </w:rPr>
        <w:tab/>
      </w:r>
      <w:r>
        <w:rPr>
          <w:i w:val="0"/>
          <w:color w:val="auto"/>
        </w:rPr>
        <w:tab/>
      </w:r>
      <w:r>
        <w:rPr>
          <w:i w:val="0"/>
          <w:color w:val="auto"/>
        </w:rPr>
        <w:tab/>
      </w:r>
      <w:r>
        <w:rPr>
          <w:i w:val="0"/>
          <w:color w:val="auto"/>
        </w:rPr>
        <w:tab/>
        <w:t>Date</w:t>
      </w:r>
    </w:p>
    <w:p w:rsidR="00AD4E85" w:rsidRDefault="00AD4E85" w:rsidP="00BF0EEB">
      <w:pPr>
        <w:pStyle w:val="Appendix1"/>
      </w:pPr>
      <w:bookmarkStart w:id="20" w:name="_Toc485322805"/>
      <w:r>
        <w:lastRenderedPageBreak/>
        <w:t>Appendix</w:t>
      </w:r>
      <w:r w:rsidR="00BF0EEB">
        <w:t xml:space="preserve"> </w:t>
      </w:r>
      <w:r w:rsidR="00BF0EEB" w:rsidRPr="00BF0EEB">
        <w:t>A – Responsibilities of the Programmatic System Owner</w:t>
      </w:r>
      <w:bookmarkEnd w:id="20"/>
    </w:p>
    <w:p w:rsidR="00F65C78" w:rsidRDefault="00F65C78" w:rsidP="00F65C78">
      <w:pPr>
        <w:pStyle w:val="BodyTextBullet1"/>
      </w:pPr>
      <w:r>
        <w:t>Coordinate sustainment efforts</w:t>
      </w:r>
    </w:p>
    <w:p w:rsidR="00F65C78" w:rsidRDefault="00F65C78" w:rsidP="00F65C78">
      <w:pPr>
        <w:pStyle w:val="BodyTextBullet1"/>
        <w:numPr>
          <w:ilvl w:val="1"/>
          <w:numId w:val="5"/>
        </w:numPr>
      </w:pPr>
      <w:r>
        <w:t>Serve as overall point person for sustainment of the product</w:t>
      </w:r>
    </w:p>
    <w:p w:rsidR="00F65C78" w:rsidRDefault="00F65C78" w:rsidP="00F65C78">
      <w:pPr>
        <w:pStyle w:val="BodyTextBullet1"/>
        <w:numPr>
          <w:ilvl w:val="1"/>
          <w:numId w:val="5"/>
        </w:numPr>
      </w:pPr>
      <w:r>
        <w:t>Coordinate the efforts of all entities involved in product sustainment, including Product Support, Enterprise Operations, Field Operations, a vendor, Network Security and Operations Center, National Service Desk, Enterprise Systems Engineering, and Product Development</w:t>
      </w:r>
    </w:p>
    <w:p w:rsidR="00F65C78" w:rsidRDefault="00F65C78" w:rsidP="00F65C78">
      <w:pPr>
        <w:pStyle w:val="BodyTextBullet1"/>
        <w:numPr>
          <w:ilvl w:val="1"/>
          <w:numId w:val="5"/>
        </w:numPr>
      </w:pPr>
      <w:r>
        <w:t>Act as liaison to the business owner</w:t>
      </w:r>
    </w:p>
    <w:p w:rsidR="00F65C78" w:rsidRDefault="00F65C78" w:rsidP="00F65C78">
      <w:pPr>
        <w:pStyle w:val="BodyTextBullet1"/>
      </w:pPr>
      <w:r>
        <w:t>Manage sustainment budget</w:t>
      </w:r>
    </w:p>
    <w:p w:rsidR="00F65C78" w:rsidRDefault="00F65C78" w:rsidP="00F65C78">
      <w:pPr>
        <w:pStyle w:val="BodyTextBullet1"/>
        <w:numPr>
          <w:ilvl w:val="1"/>
          <w:numId w:val="5"/>
        </w:numPr>
      </w:pPr>
      <w:r>
        <w:t>Assure continual funding for all aspects of sustaining the product, such as hosting, application maintenance, enhancements, and hardware refreshes</w:t>
      </w:r>
    </w:p>
    <w:p w:rsidR="00F65C78" w:rsidRDefault="00F65C78" w:rsidP="00F65C78">
      <w:pPr>
        <w:pStyle w:val="BodyTextBullet1"/>
        <w:numPr>
          <w:ilvl w:val="1"/>
          <w:numId w:val="5"/>
        </w:numPr>
      </w:pPr>
      <w:r>
        <w:t>Coordinate with ITSM assuring sustainment budget for out years</w:t>
      </w:r>
    </w:p>
    <w:p w:rsidR="00F65C78" w:rsidRDefault="00F65C78" w:rsidP="00F65C78">
      <w:pPr>
        <w:pStyle w:val="BodyTextBullet1"/>
      </w:pPr>
      <w:r>
        <w:t>Manage contracts for hardware, software, maintenance, etc.</w:t>
      </w:r>
    </w:p>
    <w:p w:rsidR="00F65C78" w:rsidRDefault="00F65C78" w:rsidP="00F65C78">
      <w:pPr>
        <w:pStyle w:val="BodyTextBullet1"/>
        <w:numPr>
          <w:ilvl w:val="1"/>
          <w:numId w:val="5"/>
        </w:numPr>
      </w:pPr>
      <w:r>
        <w:t xml:space="preserve">Serve in PM role and assure a Contracting Officer Representative (COR) is assigned for sustainment contracts </w:t>
      </w:r>
    </w:p>
    <w:p w:rsidR="00F65C78" w:rsidRDefault="00F65C78" w:rsidP="00F65C78">
      <w:pPr>
        <w:pStyle w:val="BodyTextBullet1"/>
        <w:numPr>
          <w:ilvl w:val="1"/>
          <w:numId w:val="5"/>
        </w:numPr>
      </w:pPr>
      <w:r>
        <w:t>Coordinate with the Technology Acquisition Center (TAC) as necessary</w:t>
      </w:r>
    </w:p>
    <w:p w:rsidR="00F65C78" w:rsidRDefault="00F65C78" w:rsidP="00F65C78">
      <w:pPr>
        <w:pStyle w:val="BodyTextBullet1"/>
        <w:numPr>
          <w:ilvl w:val="1"/>
          <w:numId w:val="5"/>
        </w:numPr>
      </w:pPr>
      <w:r>
        <w:t>Coordinate with vendor(s) as necessary</w:t>
      </w:r>
    </w:p>
    <w:p w:rsidR="00F65C78" w:rsidRDefault="00F65C78" w:rsidP="00F65C78">
      <w:pPr>
        <w:pStyle w:val="BodyTextBullet1"/>
        <w:numPr>
          <w:ilvl w:val="1"/>
          <w:numId w:val="5"/>
        </w:numPr>
      </w:pPr>
      <w:r>
        <w:t>Assure renewal of contracts and develop future sustainment contracts as needed (develop acquisition packages and coordinate technical evaluations)</w:t>
      </w:r>
    </w:p>
    <w:p w:rsidR="00F65C78" w:rsidRDefault="00F65C78" w:rsidP="00F65C78">
      <w:pPr>
        <w:pStyle w:val="BodyTextBullet1"/>
        <w:numPr>
          <w:ilvl w:val="1"/>
          <w:numId w:val="5"/>
        </w:numPr>
      </w:pPr>
      <w:r>
        <w:t>Review and accept contract deliverables in tandem with COR</w:t>
      </w:r>
    </w:p>
    <w:p w:rsidR="00F65C78" w:rsidRDefault="00F65C78" w:rsidP="00F65C78">
      <w:pPr>
        <w:pStyle w:val="BodyTextBullet1"/>
        <w:numPr>
          <w:ilvl w:val="1"/>
          <w:numId w:val="5"/>
        </w:numPr>
      </w:pPr>
      <w:r>
        <w:t>Assure invoices are approved timely</w:t>
      </w:r>
    </w:p>
    <w:p w:rsidR="00F65C78" w:rsidRDefault="00F65C78" w:rsidP="00F65C78">
      <w:pPr>
        <w:pStyle w:val="BodyTextBullet1"/>
        <w:numPr>
          <w:ilvl w:val="1"/>
          <w:numId w:val="5"/>
        </w:numPr>
      </w:pPr>
      <w:r>
        <w:t>Assure service level agreement (SLAs) are met</w:t>
      </w:r>
    </w:p>
    <w:p w:rsidR="00F65C78" w:rsidRDefault="00F65C78" w:rsidP="00F65C78">
      <w:pPr>
        <w:pStyle w:val="BodyTextBullet1"/>
      </w:pPr>
      <w:r>
        <w:t>Ensure upgrades are planned and performed</w:t>
      </w:r>
    </w:p>
    <w:p w:rsidR="00F65C78" w:rsidRDefault="00F65C78" w:rsidP="00F65C78">
      <w:pPr>
        <w:pStyle w:val="BodyTextBullet1"/>
        <w:numPr>
          <w:ilvl w:val="1"/>
          <w:numId w:val="5"/>
        </w:numPr>
      </w:pPr>
      <w:r>
        <w:t xml:space="preserve">Coordinate the implementation schedule for upgrading layered </w:t>
      </w:r>
      <w:r w:rsidR="00486779">
        <w:t xml:space="preserve">application </w:t>
      </w:r>
      <w:r>
        <w:t>components, including when to apply new releases from commercial-off-the-shelf (COTS) vendors</w:t>
      </w:r>
    </w:p>
    <w:p w:rsidR="00F65C78" w:rsidRDefault="00F65C78" w:rsidP="00F65C78">
      <w:pPr>
        <w:pStyle w:val="BodyTextBullet1"/>
        <w:numPr>
          <w:ilvl w:val="1"/>
          <w:numId w:val="5"/>
        </w:numPr>
      </w:pPr>
      <w:r>
        <w:t>Liaise the scheduling of needed downtime with all affected parties</w:t>
      </w:r>
    </w:p>
    <w:p w:rsidR="00F65C78" w:rsidRDefault="00F65C78" w:rsidP="00F65C78">
      <w:pPr>
        <w:pStyle w:val="BodyTextBullet1"/>
      </w:pPr>
      <w:r>
        <w:t>Ensure hardware refreshes</w:t>
      </w:r>
    </w:p>
    <w:p w:rsidR="00F65C78" w:rsidRDefault="00F65C78" w:rsidP="00F65C78">
      <w:pPr>
        <w:pStyle w:val="BodyTextBullet1"/>
        <w:numPr>
          <w:ilvl w:val="1"/>
          <w:numId w:val="5"/>
        </w:numPr>
      </w:pPr>
      <w:r>
        <w:t>Monitor technology advancements associated with and/or affecting the product</w:t>
      </w:r>
    </w:p>
    <w:p w:rsidR="00F65C78" w:rsidRDefault="00F65C78" w:rsidP="00F65C78">
      <w:pPr>
        <w:pStyle w:val="BodyTextBullet1"/>
        <w:numPr>
          <w:ilvl w:val="1"/>
          <w:numId w:val="5"/>
        </w:numPr>
      </w:pPr>
      <w:r>
        <w:t>Determine when to refresh hardware – work with business owner to request funding in timely manner and establish refresh projects as necessary</w:t>
      </w:r>
    </w:p>
    <w:p w:rsidR="00F65C78" w:rsidRDefault="00F65C78" w:rsidP="00F65C78">
      <w:pPr>
        <w:pStyle w:val="BodyTextBullet1"/>
      </w:pPr>
      <w:r>
        <w:t>Handle disaster procedures</w:t>
      </w:r>
    </w:p>
    <w:p w:rsidR="00F65C78" w:rsidRDefault="00F65C78" w:rsidP="00F65C78">
      <w:pPr>
        <w:pStyle w:val="BodyTextBullet1"/>
        <w:numPr>
          <w:ilvl w:val="1"/>
          <w:numId w:val="5"/>
        </w:numPr>
      </w:pPr>
      <w:r>
        <w:t>Orchestrate determination of when to declare a disaster and invoke disaster procedures in tandem with business owners, IT leadership and system administrators</w:t>
      </w:r>
    </w:p>
    <w:p w:rsidR="003D6B45" w:rsidRPr="003D6B45" w:rsidRDefault="00F65C78" w:rsidP="00F65C78">
      <w:pPr>
        <w:pStyle w:val="BodyTextBullet1"/>
        <w:numPr>
          <w:ilvl w:val="1"/>
          <w:numId w:val="5"/>
        </w:numPr>
      </w:pPr>
      <w:r>
        <w:t>Orchestrate determination of when to resume normal operations and execute the rollback strategy with business owners, IT leadership and system administrators</w:t>
      </w:r>
    </w:p>
    <w:p w:rsidR="00AD4E85" w:rsidRDefault="00AD4E85" w:rsidP="00F65C78">
      <w:pPr>
        <w:pStyle w:val="BodyText"/>
      </w:pPr>
    </w:p>
    <w:p w:rsidR="00AD4E85" w:rsidRDefault="00AD4E85" w:rsidP="00F866E3">
      <w:pPr>
        <w:pStyle w:val="Title2"/>
        <w:sectPr w:rsidR="00AD4E85" w:rsidSect="00922D53">
          <w:footerReference w:type="default" r:id="rId28"/>
          <w:pgSz w:w="12240" w:h="15840" w:code="1"/>
          <w:pgMar w:top="1440" w:right="1440" w:bottom="1440" w:left="1440" w:header="720" w:footer="720" w:gutter="0"/>
          <w:cols w:space="720"/>
          <w:docGrid w:linePitch="360"/>
        </w:sectPr>
      </w:pPr>
    </w:p>
    <w:p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showing date template was created or revised, version number, description, and author."/>
      </w:tblPr>
      <w:tblGrid>
        <w:gridCol w:w="1930"/>
        <w:gridCol w:w="1107"/>
        <w:gridCol w:w="4608"/>
        <w:gridCol w:w="1931"/>
      </w:tblGrid>
      <w:tr w:rsidR="00F866E3" w:rsidRPr="005068FD" w:rsidTr="00E55910">
        <w:trPr>
          <w:cantSplit/>
          <w:trHeight w:val="440"/>
          <w:tblHeader/>
        </w:trPr>
        <w:tc>
          <w:tcPr>
            <w:tcW w:w="1008" w:type="pct"/>
            <w:shd w:val="clear" w:color="auto" w:fill="F2F2F2"/>
          </w:tcPr>
          <w:p w:rsidR="00F866E3" w:rsidRPr="005068FD" w:rsidRDefault="00F866E3" w:rsidP="00F866E3">
            <w:pPr>
              <w:pStyle w:val="TableHeading"/>
            </w:pPr>
            <w:bookmarkStart w:id="21" w:name="ColumnTitle_06"/>
            <w:bookmarkEnd w:id="21"/>
            <w:r w:rsidRPr="005068FD">
              <w:t>Date</w:t>
            </w:r>
          </w:p>
        </w:tc>
        <w:tc>
          <w:tcPr>
            <w:tcW w:w="578" w:type="pct"/>
            <w:shd w:val="clear" w:color="auto" w:fill="F2F2F2"/>
          </w:tcPr>
          <w:p w:rsidR="00F866E3" w:rsidRPr="005068FD" w:rsidRDefault="00F866E3" w:rsidP="00F866E3">
            <w:pPr>
              <w:pStyle w:val="TableHeading"/>
            </w:pPr>
            <w:r w:rsidRPr="005068FD">
              <w:t>Version</w:t>
            </w:r>
          </w:p>
        </w:tc>
        <w:tc>
          <w:tcPr>
            <w:tcW w:w="2406" w:type="pct"/>
            <w:shd w:val="clear" w:color="auto" w:fill="F2F2F2"/>
          </w:tcPr>
          <w:p w:rsidR="00F866E3" w:rsidRPr="005068FD" w:rsidRDefault="00F866E3" w:rsidP="00F866E3">
            <w:pPr>
              <w:pStyle w:val="TableHeading"/>
            </w:pPr>
            <w:r w:rsidRPr="005068FD">
              <w:t>Description</w:t>
            </w:r>
          </w:p>
        </w:tc>
        <w:tc>
          <w:tcPr>
            <w:tcW w:w="1008" w:type="pct"/>
            <w:shd w:val="clear" w:color="auto" w:fill="F2F2F2"/>
          </w:tcPr>
          <w:p w:rsidR="00F866E3" w:rsidRPr="005068FD" w:rsidRDefault="00F866E3" w:rsidP="00F866E3">
            <w:pPr>
              <w:pStyle w:val="TableHeading"/>
            </w:pPr>
            <w:r w:rsidRPr="005068FD">
              <w:t>Author</w:t>
            </w:r>
          </w:p>
        </w:tc>
      </w:tr>
      <w:tr w:rsidR="009B62E4" w:rsidRPr="00510F16" w:rsidTr="0056387F">
        <w:trPr>
          <w:cantSplit/>
        </w:trPr>
        <w:tc>
          <w:tcPr>
            <w:tcW w:w="1008" w:type="pct"/>
          </w:tcPr>
          <w:p w:rsidR="009B62E4" w:rsidRPr="00E55910" w:rsidRDefault="009B62E4" w:rsidP="00F866E3">
            <w:pPr>
              <w:pStyle w:val="TableText"/>
            </w:pPr>
            <w:r w:rsidRPr="00E55910">
              <w:t>May 2015</w:t>
            </w:r>
          </w:p>
        </w:tc>
        <w:tc>
          <w:tcPr>
            <w:tcW w:w="578" w:type="pct"/>
          </w:tcPr>
          <w:p w:rsidR="009B62E4" w:rsidRPr="00E55910" w:rsidRDefault="009B62E4" w:rsidP="00F866E3">
            <w:pPr>
              <w:pStyle w:val="TableText"/>
            </w:pPr>
            <w:r w:rsidRPr="00E55910">
              <w:t>1.8</w:t>
            </w:r>
          </w:p>
        </w:tc>
        <w:tc>
          <w:tcPr>
            <w:tcW w:w="2406" w:type="pct"/>
          </w:tcPr>
          <w:p w:rsidR="009B62E4" w:rsidRPr="00E55910" w:rsidRDefault="009B62E4" w:rsidP="009B62E4">
            <w:pPr>
              <w:pStyle w:val="TableText"/>
            </w:pPr>
            <w:r w:rsidRPr="00E55910">
              <w:t>Migrated to latest artifact template, edited for Section 508 conformance, and remediated with Common Look Office tool</w:t>
            </w:r>
          </w:p>
        </w:tc>
        <w:tc>
          <w:tcPr>
            <w:tcW w:w="1008" w:type="pct"/>
          </w:tcPr>
          <w:p w:rsidR="009B62E4" w:rsidRPr="00E55910" w:rsidRDefault="009B62E4" w:rsidP="00F866E3">
            <w:pPr>
              <w:pStyle w:val="TableText"/>
            </w:pPr>
            <w:r w:rsidRPr="00E55910">
              <w:t>Process Management</w:t>
            </w:r>
          </w:p>
        </w:tc>
      </w:tr>
      <w:tr w:rsidR="009B62E4" w:rsidRPr="00510F16" w:rsidTr="0056387F">
        <w:trPr>
          <w:cantSplit/>
        </w:trPr>
        <w:tc>
          <w:tcPr>
            <w:tcW w:w="1008" w:type="pct"/>
          </w:tcPr>
          <w:p w:rsidR="009B62E4" w:rsidRPr="00E55910" w:rsidRDefault="009B62E4" w:rsidP="00F866E3">
            <w:pPr>
              <w:pStyle w:val="TableText"/>
            </w:pPr>
            <w:r w:rsidRPr="00E55910">
              <w:t>February 2015</w:t>
            </w:r>
          </w:p>
        </w:tc>
        <w:tc>
          <w:tcPr>
            <w:tcW w:w="578" w:type="pct"/>
          </w:tcPr>
          <w:p w:rsidR="009B62E4" w:rsidRPr="00E55910" w:rsidRDefault="009B62E4" w:rsidP="00F866E3">
            <w:pPr>
              <w:pStyle w:val="TableText"/>
            </w:pPr>
            <w:r w:rsidRPr="00E55910">
              <w:t>1.7</w:t>
            </w:r>
          </w:p>
        </w:tc>
        <w:tc>
          <w:tcPr>
            <w:tcW w:w="2406" w:type="pct"/>
          </w:tcPr>
          <w:p w:rsidR="009B62E4" w:rsidRPr="00E55910" w:rsidRDefault="009B62E4" w:rsidP="009B62E4">
            <w:pPr>
              <w:pStyle w:val="TableText"/>
            </w:pPr>
            <w:r w:rsidRPr="00E55910">
              <w:t>Streamline Sections 7, 11 &amp; 11</w:t>
            </w:r>
          </w:p>
          <w:p w:rsidR="009B62E4" w:rsidRPr="00E55910" w:rsidRDefault="009B62E4" w:rsidP="009B62E4">
            <w:pPr>
              <w:pStyle w:val="TableText"/>
            </w:pPr>
            <w:r w:rsidRPr="00E55910">
              <w:t>Inserted New Section 6</w:t>
            </w:r>
          </w:p>
          <w:p w:rsidR="009B62E4" w:rsidRPr="00E55910" w:rsidRDefault="009B62E4" w:rsidP="009B62E4">
            <w:pPr>
              <w:pStyle w:val="TableText"/>
            </w:pPr>
            <w:r w:rsidRPr="00E55910">
              <w:t>Removed Old Sections 13 &amp; 14</w:t>
            </w:r>
          </w:p>
        </w:tc>
        <w:tc>
          <w:tcPr>
            <w:tcW w:w="1008" w:type="pct"/>
          </w:tcPr>
          <w:p w:rsidR="009B62E4" w:rsidRPr="00E55910" w:rsidRDefault="009B62E4" w:rsidP="00F866E3">
            <w:pPr>
              <w:pStyle w:val="TableText"/>
            </w:pPr>
            <w:r w:rsidRPr="00E55910">
              <w:t>ESE Lifecycle</w:t>
            </w:r>
          </w:p>
        </w:tc>
      </w:tr>
      <w:tr w:rsidR="009B62E4" w:rsidRPr="00510F16" w:rsidTr="0056387F">
        <w:trPr>
          <w:cantSplit/>
        </w:trPr>
        <w:tc>
          <w:tcPr>
            <w:tcW w:w="1008" w:type="pct"/>
          </w:tcPr>
          <w:p w:rsidR="009B62E4" w:rsidRPr="00E55910" w:rsidRDefault="009B62E4" w:rsidP="00F866E3">
            <w:pPr>
              <w:pStyle w:val="TableText"/>
            </w:pPr>
            <w:r w:rsidRPr="00E55910">
              <w:t>January 2015</w:t>
            </w:r>
          </w:p>
        </w:tc>
        <w:tc>
          <w:tcPr>
            <w:tcW w:w="578" w:type="pct"/>
          </w:tcPr>
          <w:p w:rsidR="009B62E4" w:rsidRPr="00E55910" w:rsidRDefault="009B62E4" w:rsidP="00F866E3">
            <w:pPr>
              <w:pStyle w:val="TableText"/>
            </w:pPr>
            <w:r w:rsidRPr="00E55910">
              <w:t>1.6</w:t>
            </w:r>
          </w:p>
        </w:tc>
        <w:tc>
          <w:tcPr>
            <w:tcW w:w="2406" w:type="pct"/>
          </w:tcPr>
          <w:p w:rsidR="009B62E4" w:rsidRPr="00E55910" w:rsidRDefault="009B62E4" w:rsidP="00F866E3">
            <w:pPr>
              <w:pStyle w:val="TableText"/>
            </w:pPr>
            <w:r w:rsidRPr="00E55910">
              <w:t>Disclaimer added to Section 10 regarding effect of embedded TCO calculator on Section 508 conformance</w:t>
            </w:r>
          </w:p>
        </w:tc>
        <w:tc>
          <w:tcPr>
            <w:tcW w:w="1008" w:type="pct"/>
          </w:tcPr>
          <w:p w:rsidR="009B62E4" w:rsidRPr="00E55910" w:rsidRDefault="009B62E4" w:rsidP="00F866E3">
            <w:pPr>
              <w:pStyle w:val="TableText"/>
            </w:pPr>
            <w:r w:rsidRPr="00E55910">
              <w:t>Process Management</w:t>
            </w:r>
          </w:p>
        </w:tc>
      </w:tr>
      <w:tr w:rsidR="00DD58AE" w:rsidRPr="00510F16" w:rsidTr="0056387F">
        <w:trPr>
          <w:cantSplit/>
        </w:trPr>
        <w:tc>
          <w:tcPr>
            <w:tcW w:w="1008" w:type="pct"/>
          </w:tcPr>
          <w:p w:rsidR="00DD58AE" w:rsidRPr="00E55910" w:rsidRDefault="009B62E4" w:rsidP="00F866E3">
            <w:pPr>
              <w:pStyle w:val="TableText"/>
            </w:pPr>
            <w:r w:rsidRPr="00E55910">
              <w:t>December 2014</w:t>
            </w:r>
          </w:p>
        </w:tc>
        <w:tc>
          <w:tcPr>
            <w:tcW w:w="578" w:type="pct"/>
          </w:tcPr>
          <w:p w:rsidR="00DD58AE" w:rsidRPr="00E55910" w:rsidRDefault="00DD58AE" w:rsidP="00F866E3">
            <w:pPr>
              <w:pStyle w:val="TableText"/>
            </w:pPr>
            <w:r w:rsidRPr="00E55910">
              <w:t>1.5</w:t>
            </w:r>
          </w:p>
        </w:tc>
        <w:tc>
          <w:tcPr>
            <w:tcW w:w="2406" w:type="pct"/>
          </w:tcPr>
          <w:p w:rsidR="00DD58AE" w:rsidRPr="00E55910" w:rsidRDefault="009B62E4" w:rsidP="00F866E3">
            <w:pPr>
              <w:pStyle w:val="TableText"/>
            </w:pPr>
            <w:r w:rsidRPr="00E55910">
              <w:t>Update to latest Section 508 conformance guidelines and remediated with Common Look Office tool</w:t>
            </w:r>
          </w:p>
        </w:tc>
        <w:tc>
          <w:tcPr>
            <w:tcW w:w="1008" w:type="pct"/>
          </w:tcPr>
          <w:p w:rsidR="00DD58AE" w:rsidRPr="00E55910" w:rsidRDefault="00DD58AE" w:rsidP="00F866E3">
            <w:pPr>
              <w:pStyle w:val="TableText"/>
            </w:pPr>
            <w:r w:rsidRPr="00E55910">
              <w:t>Process Management</w:t>
            </w:r>
          </w:p>
        </w:tc>
      </w:tr>
      <w:tr w:rsidR="00DD58AE" w:rsidRPr="00510F16" w:rsidTr="0056387F">
        <w:trPr>
          <w:cantSplit/>
        </w:trPr>
        <w:tc>
          <w:tcPr>
            <w:tcW w:w="1008" w:type="pct"/>
          </w:tcPr>
          <w:p w:rsidR="00DD58AE" w:rsidRPr="00E55910" w:rsidRDefault="009B62E4" w:rsidP="00F866E3">
            <w:pPr>
              <w:pStyle w:val="TableText"/>
            </w:pPr>
            <w:r w:rsidRPr="00E55910">
              <w:t>October 2014</w:t>
            </w:r>
          </w:p>
        </w:tc>
        <w:tc>
          <w:tcPr>
            <w:tcW w:w="578" w:type="pct"/>
          </w:tcPr>
          <w:p w:rsidR="00DD58AE" w:rsidRPr="00E55910" w:rsidRDefault="00DD58AE" w:rsidP="00F866E3">
            <w:pPr>
              <w:pStyle w:val="TableText"/>
            </w:pPr>
            <w:r w:rsidRPr="00E55910">
              <w:t>1.4</w:t>
            </w:r>
          </w:p>
        </w:tc>
        <w:tc>
          <w:tcPr>
            <w:tcW w:w="2406" w:type="pct"/>
          </w:tcPr>
          <w:p w:rsidR="00DD58AE" w:rsidRPr="00E55910" w:rsidRDefault="009B62E4" w:rsidP="00154ABE">
            <w:pPr>
              <w:pStyle w:val="TableText"/>
            </w:pPr>
            <w:r w:rsidRPr="00E55910">
              <w:t xml:space="preserve">Change references </w:t>
            </w:r>
            <w:r w:rsidR="00154ABE" w:rsidRPr="00E55910">
              <w:t xml:space="preserve">of </w:t>
            </w:r>
            <w:r w:rsidRPr="00E55910">
              <w:t>AITC to CDCO</w:t>
            </w:r>
          </w:p>
        </w:tc>
        <w:tc>
          <w:tcPr>
            <w:tcW w:w="1008" w:type="pct"/>
          </w:tcPr>
          <w:p w:rsidR="00DD58AE" w:rsidRPr="00E55910" w:rsidRDefault="00DD58AE" w:rsidP="00F866E3">
            <w:pPr>
              <w:pStyle w:val="TableText"/>
            </w:pPr>
            <w:r w:rsidRPr="00E55910">
              <w:t>Process Management</w:t>
            </w:r>
          </w:p>
        </w:tc>
      </w:tr>
      <w:tr w:rsidR="009976DD" w:rsidRPr="00510F16" w:rsidTr="0056387F">
        <w:trPr>
          <w:cantSplit/>
        </w:trPr>
        <w:tc>
          <w:tcPr>
            <w:tcW w:w="1008" w:type="pct"/>
          </w:tcPr>
          <w:p w:rsidR="009976DD" w:rsidRPr="00E55910" w:rsidRDefault="009B62E4" w:rsidP="00F866E3">
            <w:pPr>
              <w:pStyle w:val="TableText"/>
            </w:pPr>
            <w:r w:rsidRPr="00E55910">
              <w:t>May 2014</w:t>
            </w:r>
          </w:p>
        </w:tc>
        <w:tc>
          <w:tcPr>
            <w:tcW w:w="578" w:type="pct"/>
          </w:tcPr>
          <w:p w:rsidR="009976DD" w:rsidRPr="00E55910" w:rsidRDefault="009976DD" w:rsidP="00F866E3">
            <w:pPr>
              <w:pStyle w:val="TableText"/>
            </w:pPr>
            <w:r w:rsidRPr="00E55910">
              <w:t>1.3</w:t>
            </w:r>
          </w:p>
        </w:tc>
        <w:tc>
          <w:tcPr>
            <w:tcW w:w="2406" w:type="pct"/>
          </w:tcPr>
          <w:p w:rsidR="009976DD" w:rsidRPr="00E55910" w:rsidRDefault="009B62E4" w:rsidP="00F866E3">
            <w:pPr>
              <w:pStyle w:val="TableText"/>
            </w:pPr>
            <w:r w:rsidRPr="00E55910">
              <w:t xml:space="preserve">Added PSO Requirement, 508 Compliance </w:t>
            </w:r>
            <w:proofErr w:type="spellStart"/>
            <w:r w:rsidRPr="00E55910">
              <w:t>Req</w:t>
            </w:r>
            <w:proofErr w:type="spellEnd"/>
            <w:r w:rsidRPr="00E55910">
              <w:t xml:space="preserve">, Performance Test </w:t>
            </w:r>
            <w:proofErr w:type="spellStart"/>
            <w:r w:rsidRPr="00E55910">
              <w:t>Req</w:t>
            </w:r>
            <w:proofErr w:type="spellEnd"/>
            <w:r w:rsidRPr="00E55910">
              <w:t xml:space="preserve">, </w:t>
            </w:r>
            <w:proofErr w:type="spellStart"/>
            <w:r w:rsidRPr="00E55910">
              <w:t>VistA</w:t>
            </w:r>
            <w:proofErr w:type="spellEnd"/>
            <w:r w:rsidRPr="00E55910">
              <w:t xml:space="preserve"> Patch LOE </w:t>
            </w:r>
            <w:proofErr w:type="spellStart"/>
            <w:r w:rsidRPr="00E55910">
              <w:t>Req</w:t>
            </w:r>
            <w:proofErr w:type="spellEnd"/>
          </w:p>
        </w:tc>
        <w:tc>
          <w:tcPr>
            <w:tcW w:w="1008" w:type="pct"/>
          </w:tcPr>
          <w:p w:rsidR="009976DD" w:rsidRPr="00E55910" w:rsidRDefault="009B62E4" w:rsidP="00F866E3">
            <w:pPr>
              <w:pStyle w:val="TableText"/>
            </w:pPr>
            <w:r w:rsidRPr="00E55910">
              <w:t>ESE Lifecycle</w:t>
            </w:r>
          </w:p>
        </w:tc>
      </w:tr>
      <w:tr w:rsidR="00F866E3" w:rsidRPr="00510F16" w:rsidTr="0056387F">
        <w:trPr>
          <w:cantSplit/>
        </w:trPr>
        <w:tc>
          <w:tcPr>
            <w:tcW w:w="1008" w:type="pct"/>
          </w:tcPr>
          <w:p w:rsidR="00F866E3" w:rsidRPr="00E55910" w:rsidRDefault="009B62E4" w:rsidP="00F866E3">
            <w:pPr>
              <w:pStyle w:val="TableText"/>
            </w:pPr>
            <w:r w:rsidRPr="00E55910">
              <w:t>May 2013</w:t>
            </w:r>
          </w:p>
        </w:tc>
        <w:tc>
          <w:tcPr>
            <w:tcW w:w="578" w:type="pct"/>
          </w:tcPr>
          <w:p w:rsidR="00F866E3" w:rsidRPr="00E55910" w:rsidRDefault="00F866E3" w:rsidP="00F866E3">
            <w:pPr>
              <w:pStyle w:val="TableText"/>
            </w:pPr>
            <w:r w:rsidRPr="00E55910">
              <w:t>1.2</w:t>
            </w:r>
          </w:p>
        </w:tc>
        <w:tc>
          <w:tcPr>
            <w:tcW w:w="2406" w:type="pct"/>
          </w:tcPr>
          <w:p w:rsidR="00F866E3" w:rsidRPr="00E55910" w:rsidRDefault="009B62E4" w:rsidP="00F866E3">
            <w:pPr>
              <w:pStyle w:val="TableText"/>
            </w:pPr>
            <w:r w:rsidRPr="00E55910">
              <w:t>Updated some of the fields per SMEs guidance’s</w:t>
            </w:r>
          </w:p>
        </w:tc>
        <w:tc>
          <w:tcPr>
            <w:tcW w:w="1008" w:type="pct"/>
          </w:tcPr>
          <w:p w:rsidR="00F866E3" w:rsidRPr="00E55910" w:rsidRDefault="00F866E3" w:rsidP="00F866E3">
            <w:pPr>
              <w:pStyle w:val="TableText"/>
            </w:pPr>
            <w:r w:rsidRPr="00E55910">
              <w:t>Process Management</w:t>
            </w:r>
          </w:p>
        </w:tc>
      </w:tr>
      <w:tr w:rsidR="00F866E3" w:rsidRPr="00510F16" w:rsidTr="0056387F">
        <w:trPr>
          <w:cantSplit/>
        </w:trPr>
        <w:tc>
          <w:tcPr>
            <w:tcW w:w="1008" w:type="pct"/>
          </w:tcPr>
          <w:p w:rsidR="00F866E3" w:rsidRPr="00E55910" w:rsidRDefault="00F866E3" w:rsidP="00F866E3">
            <w:pPr>
              <w:pStyle w:val="TableText"/>
            </w:pPr>
            <w:r w:rsidRPr="00E55910">
              <w:t>March 2013</w:t>
            </w:r>
          </w:p>
        </w:tc>
        <w:tc>
          <w:tcPr>
            <w:tcW w:w="578" w:type="pct"/>
          </w:tcPr>
          <w:p w:rsidR="00F866E3" w:rsidRPr="00E55910" w:rsidRDefault="00F866E3" w:rsidP="00F866E3">
            <w:pPr>
              <w:pStyle w:val="TableText"/>
            </w:pPr>
            <w:r w:rsidRPr="00E55910">
              <w:t>1.1</w:t>
            </w:r>
          </w:p>
        </w:tc>
        <w:tc>
          <w:tcPr>
            <w:tcW w:w="2406" w:type="pct"/>
          </w:tcPr>
          <w:p w:rsidR="00F866E3" w:rsidRPr="00E55910" w:rsidRDefault="009B62E4" w:rsidP="00F866E3">
            <w:pPr>
              <w:pStyle w:val="TableText"/>
            </w:pPr>
            <w:r w:rsidRPr="00E55910">
              <w:t xml:space="preserve">Updated to current </w:t>
            </w:r>
            <w:proofErr w:type="spellStart"/>
            <w:r w:rsidRPr="00E55910">
              <w:t>ProPath</w:t>
            </w:r>
            <w:proofErr w:type="spellEnd"/>
            <w:r w:rsidRPr="00E55910">
              <w:t xml:space="preserve"> documentation standards and edited for Section 508 conformance</w:t>
            </w:r>
          </w:p>
        </w:tc>
        <w:tc>
          <w:tcPr>
            <w:tcW w:w="1008" w:type="pct"/>
          </w:tcPr>
          <w:p w:rsidR="00F866E3" w:rsidRPr="00E55910" w:rsidRDefault="00F866E3" w:rsidP="00F866E3">
            <w:pPr>
              <w:pStyle w:val="TableText"/>
            </w:pPr>
            <w:r w:rsidRPr="00E55910">
              <w:t>Process Management</w:t>
            </w:r>
          </w:p>
        </w:tc>
      </w:tr>
      <w:tr w:rsidR="00F866E3" w:rsidRPr="00510F16" w:rsidTr="0056387F">
        <w:trPr>
          <w:cantSplit/>
        </w:trPr>
        <w:tc>
          <w:tcPr>
            <w:tcW w:w="1008" w:type="pct"/>
          </w:tcPr>
          <w:p w:rsidR="00F866E3" w:rsidRPr="00E55910" w:rsidRDefault="00F866E3" w:rsidP="00F866E3">
            <w:pPr>
              <w:pStyle w:val="TableText"/>
            </w:pPr>
            <w:r w:rsidRPr="00E55910">
              <w:t>January 2013</w:t>
            </w:r>
          </w:p>
        </w:tc>
        <w:tc>
          <w:tcPr>
            <w:tcW w:w="578" w:type="pct"/>
          </w:tcPr>
          <w:p w:rsidR="00F866E3" w:rsidRPr="00E55910" w:rsidRDefault="00F866E3" w:rsidP="00F866E3">
            <w:pPr>
              <w:pStyle w:val="TableText"/>
            </w:pPr>
            <w:r w:rsidRPr="00E55910">
              <w:t>1.0</w:t>
            </w:r>
          </w:p>
        </w:tc>
        <w:tc>
          <w:tcPr>
            <w:tcW w:w="2406" w:type="pct"/>
          </w:tcPr>
          <w:p w:rsidR="00F866E3" w:rsidRPr="00E55910" w:rsidRDefault="00F866E3" w:rsidP="009B62E4">
            <w:pPr>
              <w:pStyle w:val="TableText"/>
            </w:pPr>
            <w:r w:rsidRPr="00E55910">
              <w:t xml:space="preserve">Initial </w:t>
            </w:r>
            <w:r w:rsidR="009B62E4" w:rsidRPr="00E55910">
              <w:t>Version</w:t>
            </w:r>
          </w:p>
        </w:tc>
        <w:tc>
          <w:tcPr>
            <w:tcW w:w="1008" w:type="pct"/>
          </w:tcPr>
          <w:p w:rsidR="00F866E3" w:rsidRPr="00E55910" w:rsidRDefault="00F866E3" w:rsidP="00F866E3">
            <w:pPr>
              <w:pStyle w:val="TableText"/>
            </w:pPr>
            <w:r w:rsidRPr="00E55910">
              <w:t>PMAS Business Office</w:t>
            </w:r>
          </w:p>
        </w:tc>
      </w:tr>
    </w:tbl>
    <w:p w:rsidR="00FA1BF4" w:rsidRPr="00FA1BF4" w:rsidRDefault="00FA1BF4" w:rsidP="00FA1BF4">
      <w:pPr>
        <w:pStyle w:val="BodyText"/>
      </w:pPr>
    </w:p>
    <w:sectPr w:rsidR="00FA1BF4" w:rsidRPr="00FA1BF4"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5C3" w:rsidRDefault="00C525C3">
      <w:r>
        <w:separator/>
      </w:r>
    </w:p>
    <w:p w:rsidR="00C525C3" w:rsidRDefault="00C525C3"/>
  </w:endnote>
  <w:endnote w:type="continuationSeparator" w:id="0">
    <w:p w:rsidR="00C525C3" w:rsidRDefault="00C525C3">
      <w:r>
        <w:continuationSeparator/>
      </w:r>
    </w:p>
    <w:p w:rsidR="00C525C3" w:rsidRDefault="00C525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4A2" w:rsidRDefault="00F934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4A2" w:rsidRDefault="00F934A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4A2" w:rsidRDefault="00F934A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2E5" w:rsidRPr="00F934A2" w:rsidRDefault="007872E5" w:rsidP="00F934A2">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2E5" w:rsidRPr="00F934A2" w:rsidRDefault="007872E5" w:rsidP="00F934A2">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5C3" w:rsidRDefault="00C525C3">
      <w:r>
        <w:separator/>
      </w:r>
    </w:p>
    <w:p w:rsidR="00C525C3" w:rsidRDefault="00C525C3"/>
  </w:footnote>
  <w:footnote w:type="continuationSeparator" w:id="0">
    <w:p w:rsidR="00C525C3" w:rsidRDefault="00C525C3">
      <w:r>
        <w:continuationSeparator/>
      </w:r>
    </w:p>
    <w:p w:rsidR="00C525C3" w:rsidRDefault="00C525C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4A2" w:rsidRDefault="00F934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4A2" w:rsidRDefault="00F934A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4A2" w:rsidRDefault="00F934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67.5pt;height:40.5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F84640C"/>
    <w:multiLevelType w:val="hybridMultilevel"/>
    <w:tmpl w:val="FF002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3F3516"/>
    <w:multiLevelType w:val="hybridMultilevel"/>
    <w:tmpl w:val="4FFCD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C2E46A4"/>
    <w:multiLevelType w:val="hybridMultilevel"/>
    <w:tmpl w:val="16701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2">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4">
    <w:nsid w:val="409B2CEF"/>
    <w:multiLevelType w:val="hybridMultilevel"/>
    <w:tmpl w:val="14B48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7">
    <w:nsid w:val="55CB087B"/>
    <w:multiLevelType w:val="hybridMultilevel"/>
    <w:tmpl w:val="E8EE7B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2">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5">
    <w:nsid w:val="79D40AB5"/>
    <w:multiLevelType w:val="hybridMultilevel"/>
    <w:tmpl w:val="01B6E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AB660ED"/>
    <w:multiLevelType w:val="hybridMultilevel"/>
    <w:tmpl w:val="9684C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E4708E"/>
    <w:multiLevelType w:val="hybridMultilevel"/>
    <w:tmpl w:val="87101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2"/>
  </w:num>
  <w:num w:numId="4">
    <w:abstractNumId w:val="24"/>
  </w:num>
  <w:num w:numId="5">
    <w:abstractNumId w:val="28"/>
  </w:num>
  <w:num w:numId="6">
    <w:abstractNumId w:val="18"/>
  </w:num>
  <w:num w:numId="7">
    <w:abstractNumId w:val="11"/>
  </w:num>
  <w:num w:numId="8">
    <w:abstractNumId w:val="9"/>
  </w:num>
  <w:num w:numId="9">
    <w:abstractNumId w:val="13"/>
  </w:num>
  <w:num w:numId="10">
    <w:abstractNumId w:val="16"/>
  </w:num>
  <w:num w:numId="11">
    <w:abstractNumId w:val="3"/>
  </w:num>
  <w:num w:numId="12">
    <w:abstractNumId w:val="12"/>
  </w:num>
  <w:num w:numId="13">
    <w:abstractNumId w:val="19"/>
  </w:num>
  <w:num w:numId="14">
    <w:abstractNumId w:val="15"/>
  </w:num>
  <w:num w:numId="15">
    <w:abstractNumId w:val="7"/>
  </w:num>
  <w:num w:numId="16">
    <w:abstractNumId w:val="10"/>
  </w:num>
  <w:num w:numId="17">
    <w:abstractNumId w:val="23"/>
  </w:num>
  <w:num w:numId="18">
    <w:abstractNumId w:val="1"/>
  </w:num>
  <w:num w:numId="19">
    <w:abstractNumId w:val="1"/>
  </w:num>
  <w:num w:numId="20">
    <w:abstractNumId w:val="20"/>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2"/>
    <w:lvlOverride w:ilvl="0">
      <w:startOverride w:val="1"/>
    </w:lvlOverride>
  </w:num>
  <w:num w:numId="25">
    <w:abstractNumId w:val="22"/>
    <w:lvlOverride w:ilvl="0">
      <w:startOverride w:val="1"/>
    </w:lvlOverride>
  </w:num>
  <w:num w:numId="26">
    <w:abstractNumId w:val="22"/>
    <w:lvlOverride w:ilvl="0">
      <w:startOverride w:val="1"/>
    </w:lvlOverride>
  </w:num>
  <w:num w:numId="27">
    <w:abstractNumId w:val="22"/>
    <w:lvlOverride w:ilvl="0">
      <w:startOverride w:val="1"/>
    </w:lvlOverride>
  </w:num>
  <w:num w:numId="28">
    <w:abstractNumId w:val="22"/>
    <w:lvlOverride w:ilvl="0">
      <w:startOverride w:val="1"/>
    </w:lvlOverride>
  </w:num>
  <w:num w:numId="29">
    <w:abstractNumId w:val="4"/>
  </w:num>
  <w:num w:numId="30">
    <w:abstractNumId w:val="5"/>
  </w:num>
  <w:num w:numId="31">
    <w:abstractNumId w:val="27"/>
  </w:num>
  <w:num w:numId="32">
    <w:abstractNumId w:val="25"/>
  </w:num>
  <w:num w:numId="33">
    <w:abstractNumId w:val="17"/>
  </w:num>
  <w:num w:numId="34">
    <w:abstractNumId w:val="26"/>
  </w:num>
  <w:num w:numId="35">
    <w:abstractNumId w:val="14"/>
  </w:num>
  <w:num w:numId="3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0"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63A7"/>
    <w:rsid w:val="0000675B"/>
    <w:rsid w:val="00006DB8"/>
    <w:rsid w:val="00010140"/>
    <w:rsid w:val="000114B6"/>
    <w:rsid w:val="000119D4"/>
    <w:rsid w:val="00011EE6"/>
    <w:rsid w:val="0001226E"/>
    <w:rsid w:val="000171DA"/>
    <w:rsid w:val="0001731E"/>
    <w:rsid w:val="000263BB"/>
    <w:rsid w:val="00030C06"/>
    <w:rsid w:val="00040B82"/>
    <w:rsid w:val="00040DCD"/>
    <w:rsid w:val="0004636C"/>
    <w:rsid w:val="000512B6"/>
    <w:rsid w:val="00051BC7"/>
    <w:rsid w:val="00071348"/>
    <w:rsid w:val="00071609"/>
    <w:rsid w:val="0007778C"/>
    <w:rsid w:val="0008512A"/>
    <w:rsid w:val="00085286"/>
    <w:rsid w:val="00086D68"/>
    <w:rsid w:val="0009184E"/>
    <w:rsid w:val="000B23F8"/>
    <w:rsid w:val="000C19F0"/>
    <w:rsid w:val="000D2A67"/>
    <w:rsid w:val="000F3438"/>
    <w:rsid w:val="00101B1F"/>
    <w:rsid w:val="00102B98"/>
    <w:rsid w:val="0010320F"/>
    <w:rsid w:val="00104399"/>
    <w:rsid w:val="0010664C"/>
    <w:rsid w:val="00107971"/>
    <w:rsid w:val="0012060D"/>
    <w:rsid w:val="00136BBD"/>
    <w:rsid w:val="00140C47"/>
    <w:rsid w:val="00143686"/>
    <w:rsid w:val="00143CC3"/>
    <w:rsid w:val="00147823"/>
    <w:rsid w:val="00151087"/>
    <w:rsid w:val="00151E8F"/>
    <w:rsid w:val="001535AC"/>
    <w:rsid w:val="00154ABE"/>
    <w:rsid w:val="001574A4"/>
    <w:rsid w:val="00160824"/>
    <w:rsid w:val="00161ED8"/>
    <w:rsid w:val="001624C3"/>
    <w:rsid w:val="001645B5"/>
    <w:rsid w:val="001654FA"/>
    <w:rsid w:val="00165AB8"/>
    <w:rsid w:val="0016747A"/>
    <w:rsid w:val="00170E4B"/>
    <w:rsid w:val="00172D7F"/>
    <w:rsid w:val="00175C2D"/>
    <w:rsid w:val="00180235"/>
    <w:rsid w:val="00185E6F"/>
    <w:rsid w:val="00186009"/>
    <w:rsid w:val="001A3C5C"/>
    <w:rsid w:val="001A75D9"/>
    <w:rsid w:val="001C6D26"/>
    <w:rsid w:val="001D1B42"/>
    <w:rsid w:val="001D3222"/>
    <w:rsid w:val="001D6650"/>
    <w:rsid w:val="001E343E"/>
    <w:rsid w:val="001E4B39"/>
    <w:rsid w:val="00213F20"/>
    <w:rsid w:val="00215E46"/>
    <w:rsid w:val="00216CDB"/>
    <w:rsid w:val="00216EEA"/>
    <w:rsid w:val="00217034"/>
    <w:rsid w:val="00217CC2"/>
    <w:rsid w:val="002273CA"/>
    <w:rsid w:val="00234111"/>
    <w:rsid w:val="00252BD5"/>
    <w:rsid w:val="00253AE3"/>
    <w:rsid w:val="00256419"/>
    <w:rsid w:val="00256F04"/>
    <w:rsid w:val="00261056"/>
    <w:rsid w:val="00266D60"/>
    <w:rsid w:val="0027136D"/>
    <w:rsid w:val="00280A53"/>
    <w:rsid w:val="00282EDE"/>
    <w:rsid w:val="00292B10"/>
    <w:rsid w:val="002A0C8C"/>
    <w:rsid w:val="002A2EE5"/>
    <w:rsid w:val="002A4907"/>
    <w:rsid w:val="002A7F26"/>
    <w:rsid w:val="002B4843"/>
    <w:rsid w:val="002C6335"/>
    <w:rsid w:val="002D0C49"/>
    <w:rsid w:val="002D1B52"/>
    <w:rsid w:val="002D5204"/>
    <w:rsid w:val="002E1D8C"/>
    <w:rsid w:val="002E34BA"/>
    <w:rsid w:val="002E4DC7"/>
    <w:rsid w:val="002E751D"/>
    <w:rsid w:val="002F0076"/>
    <w:rsid w:val="002F5410"/>
    <w:rsid w:val="00303850"/>
    <w:rsid w:val="0031098A"/>
    <w:rsid w:val="003110DB"/>
    <w:rsid w:val="00314B90"/>
    <w:rsid w:val="0032241E"/>
    <w:rsid w:val="003224BE"/>
    <w:rsid w:val="003251C7"/>
    <w:rsid w:val="00325865"/>
    <w:rsid w:val="00326966"/>
    <w:rsid w:val="00334123"/>
    <w:rsid w:val="00334271"/>
    <w:rsid w:val="003417C9"/>
    <w:rsid w:val="00342E0C"/>
    <w:rsid w:val="00345883"/>
    <w:rsid w:val="00346959"/>
    <w:rsid w:val="00353152"/>
    <w:rsid w:val="003565ED"/>
    <w:rsid w:val="0036575D"/>
    <w:rsid w:val="00372700"/>
    <w:rsid w:val="00376DD4"/>
    <w:rsid w:val="0038045D"/>
    <w:rsid w:val="00381396"/>
    <w:rsid w:val="003924ED"/>
    <w:rsid w:val="00392B05"/>
    <w:rsid w:val="003A2D93"/>
    <w:rsid w:val="003B6DC8"/>
    <w:rsid w:val="003C2198"/>
    <w:rsid w:val="003C2662"/>
    <w:rsid w:val="003C49EF"/>
    <w:rsid w:val="003C7B01"/>
    <w:rsid w:val="003D59EF"/>
    <w:rsid w:val="003D6B45"/>
    <w:rsid w:val="003D7EA1"/>
    <w:rsid w:val="003E1F9E"/>
    <w:rsid w:val="003E2A3C"/>
    <w:rsid w:val="003E3586"/>
    <w:rsid w:val="003E5FCD"/>
    <w:rsid w:val="003E7770"/>
    <w:rsid w:val="003E7A41"/>
    <w:rsid w:val="003F30DB"/>
    <w:rsid w:val="003F44E5"/>
    <w:rsid w:val="003F4789"/>
    <w:rsid w:val="004122A6"/>
    <w:rsid w:val="004125EE"/>
    <w:rsid w:val="004145D9"/>
    <w:rsid w:val="00423003"/>
    <w:rsid w:val="00423A58"/>
    <w:rsid w:val="00433816"/>
    <w:rsid w:val="00440A78"/>
    <w:rsid w:val="00440AFF"/>
    <w:rsid w:val="00445BF7"/>
    <w:rsid w:val="00451181"/>
    <w:rsid w:val="00452DB6"/>
    <w:rsid w:val="0045321B"/>
    <w:rsid w:val="004624DC"/>
    <w:rsid w:val="00466C6D"/>
    <w:rsid w:val="00467F6F"/>
    <w:rsid w:val="004708D1"/>
    <w:rsid w:val="00474BBC"/>
    <w:rsid w:val="0048016C"/>
    <w:rsid w:val="0048455F"/>
    <w:rsid w:val="004849B1"/>
    <w:rsid w:val="00486762"/>
    <w:rsid w:val="00486779"/>
    <w:rsid w:val="00491B6C"/>
    <w:rsid w:val="004929C8"/>
    <w:rsid w:val="004A28E1"/>
    <w:rsid w:val="004B04D1"/>
    <w:rsid w:val="004B328E"/>
    <w:rsid w:val="004B64EC"/>
    <w:rsid w:val="004D1F3B"/>
    <w:rsid w:val="004D3CB7"/>
    <w:rsid w:val="004D3FB6"/>
    <w:rsid w:val="004D5CD2"/>
    <w:rsid w:val="004E62E3"/>
    <w:rsid w:val="004F0FB3"/>
    <w:rsid w:val="004F3A80"/>
    <w:rsid w:val="004F5D08"/>
    <w:rsid w:val="004F67BD"/>
    <w:rsid w:val="00504BC1"/>
    <w:rsid w:val="005100F6"/>
    <w:rsid w:val="00510914"/>
    <w:rsid w:val="00510F16"/>
    <w:rsid w:val="0051422A"/>
    <w:rsid w:val="00515F2A"/>
    <w:rsid w:val="00520485"/>
    <w:rsid w:val="00527B5C"/>
    <w:rsid w:val="00530D34"/>
    <w:rsid w:val="00531CD9"/>
    <w:rsid w:val="005327F9"/>
    <w:rsid w:val="00532B92"/>
    <w:rsid w:val="00534120"/>
    <w:rsid w:val="005360AD"/>
    <w:rsid w:val="005369DE"/>
    <w:rsid w:val="00543E06"/>
    <w:rsid w:val="005472FC"/>
    <w:rsid w:val="00550FC1"/>
    <w:rsid w:val="00554B8F"/>
    <w:rsid w:val="00560721"/>
    <w:rsid w:val="0056387F"/>
    <w:rsid w:val="00563AA9"/>
    <w:rsid w:val="005647C7"/>
    <w:rsid w:val="00566D6A"/>
    <w:rsid w:val="00575CFA"/>
    <w:rsid w:val="00576377"/>
    <w:rsid w:val="00577B5B"/>
    <w:rsid w:val="00584F2F"/>
    <w:rsid w:val="00585635"/>
    <w:rsid w:val="00585881"/>
    <w:rsid w:val="00587722"/>
    <w:rsid w:val="00594383"/>
    <w:rsid w:val="005A1C16"/>
    <w:rsid w:val="005A321B"/>
    <w:rsid w:val="005A6D5B"/>
    <w:rsid w:val="005A722B"/>
    <w:rsid w:val="005B7CDD"/>
    <w:rsid w:val="005D18C5"/>
    <w:rsid w:val="005D3B22"/>
    <w:rsid w:val="005E2AF9"/>
    <w:rsid w:val="005E7439"/>
    <w:rsid w:val="00600235"/>
    <w:rsid w:val="00603A76"/>
    <w:rsid w:val="00606743"/>
    <w:rsid w:val="00610ADB"/>
    <w:rsid w:val="00614A5E"/>
    <w:rsid w:val="00620BFA"/>
    <w:rsid w:val="006244C7"/>
    <w:rsid w:val="00631A3E"/>
    <w:rsid w:val="0063235A"/>
    <w:rsid w:val="00642849"/>
    <w:rsid w:val="0064769E"/>
    <w:rsid w:val="00647B03"/>
    <w:rsid w:val="0065443F"/>
    <w:rsid w:val="0066022A"/>
    <w:rsid w:val="00663B92"/>
    <w:rsid w:val="0066467F"/>
    <w:rsid w:val="00664F01"/>
    <w:rsid w:val="00665BF6"/>
    <w:rsid w:val="006670D2"/>
    <w:rsid w:val="00667E47"/>
    <w:rsid w:val="00677451"/>
    <w:rsid w:val="00677AA6"/>
    <w:rsid w:val="00680463"/>
    <w:rsid w:val="00680563"/>
    <w:rsid w:val="006833FF"/>
    <w:rsid w:val="00691431"/>
    <w:rsid w:val="006966B7"/>
    <w:rsid w:val="006A0FC5"/>
    <w:rsid w:val="006A20A1"/>
    <w:rsid w:val="006A7603"/>
    <w:rsid w:val="006C74F4"/>
    <w:rsid w:val="006C7ACD"/>
    <w:rsid w:val="006D0C19"/>
    <w:rsid w:val="006D4142"/>
    <w:rsid w:val="006D68DA"/>
    <w:rsid w:val="006E32E0"/>
    <w:rsid w:val="006E5523"/>
    <w:rsid w:val="006E587C"/>
    <w:rsid w:val="006F0B15"/>
    <w:rsid w:val="006F0CA3"/>
    <w:rsid w:val="006F6D65"/>
    <w:rsid w:val="006F7626"/>
    <w:rsid w:val="007017C3"/>
    <w:rsid w:val="007140CA"/>
    <w:rsid w:val="00714730"/>
    <w:rsid w:val="00715F75"/>
    <w:rsid w:val="007238FF"/>
    <w:rsid w:val="0072569B"/>
    <w:rsid w:val="00725C30"/>
    <w:rsid w:val="0073078F"/>
    <w:rsid w:val="007316E5"/>
    <w:rsid w:val="00735623"/>
    <w:rsid w:val="00736B0D"/>
    <w:rsid w:val="00742D4B"/>
    <w:rsid w:val="00744F0F"/>
    <w:rsid w:val="00750FDE"/>
    <w:rsid w:val="007537E2"/>
    <w:rsid w:val="00756E3B"/>
    <w:rsid w:val="00762B56"/>
    <w:rsid w:val="00763DBB"/>
    <w:rsid w:val="007654AB"/>
    <w:rsid w:val="00765E89"/>
    <w:rsid w:val="007670DA"/>
    <w:rsid w:val="00767528"/>
    <w:rsid w:val="007809A2"/>
    <w:rsid w:val="00781144"/>
    <w:rsid w:val="007864FA"/>
    <w:rsid w:val="0078711F"/>
    <w:rsid w:val="007872E5"/>
    <w:rsid w:val="0078769E"/>
    <w:rsid w:val="007926DE"/>
    <w:rsid w:val="00793809"/>
    <w:rsid w:val="007A39CC"/>
    <w:rsid w:val="007A6696"/>
    <w:rsid w:val="007B3D18"/>
    <w:rsid w:val="007B5233"/>
    <w:rsid w:val="007B65D7"/>
    <w:rsid w:val="007C2637"/>
    <w:rsid w:val="007C53B4"/>
    <w:rsid w:val="007D19E4"/>
    <w:rsid w:val="007D4C26"/>
    <w:rsid w:val="007E05D4"/>
    <w:rsid w:val="007E4370"/>
    <w:rsid w:val="007E5789"/>
    <w:rsid w:val="007F69A6"/>
    <w:rsid w:val="007F767C"/>
    <w:rsid w:val="00801B32"/>
    <w:rsid w:val="00806E2E"/>
    <w:rsid w:val="00812A41"/>
    <w:rsid w:val="008159EE"/>
    <w:rsid w:val="00821734"/>
    <w:rsid w:val="00821FD9"/>
    <w:rsid w:val="008241A1"/>
    <w:rsid w:val="00825350"/>
    <w:rsid w:val="008308C2"/>
    <w:rsid w:val="00845BB9"/>
    <w:rsid w:val="00847214"/>
    <w:rsid w:val="00851812"/>
    <w:rsid w:val="00855A06"/>
    <w:rsid w:val="00856932"/>
    <w:rsid w:val="00856A08"/>
    <w:rsid w:val="00863B21"/>
    <w:rsid w:val="008654F1"/>
    <w:rsid w:val="00871E3C"/>
    <w:rsid w:val="0088044F"/>
    <w:rsid w:val="00880C3D"/>
    <w:rsid w:val="00881C01"/>
    <w:rsid w:val="008831EB"/>
    <w:rsid w:val="00886638"/>
    <w:rsid w:val="00886971"/>
    <w:rsid w:val="00887D77"/>
    <w:rsid w:val="00887F39"/>
    <w:rsid w:val="008A1731"/>
    <w:rsid w:val="008A4AE4"/>
    <w:rsid w:val="008A783A"/>
    <w:rsid w:val="008B3E6B"/>
    <w:rsid w:val="008C2304"/>
    <w:rsid w:val="008C4576"/>
    <w:rsid w:val="008D191D"/>
    <w:rsid w:val="008E3EF4"/>
    <w:rsid w:val="008E3F6B"/>
    <w:rsid w:val="008E661A"/>
    <w:rsid w:val="008F298E"/>
    <w:rsid w:val="008F43AA"/>
    <w:rsid w:val="008F56F7"/>
    <w:rsid w:val="009011D4"/>
    <w:rsid w:val="00901D12"/>
    <w:rsid w:val="00906711"/>
    <w:rsid w:val="009071B9"/>
    <w:rsid w:val="00911696"/>
    <w:rsid w:val="0091408F"/>
    <w:rsid w:val="009144E6"/>
    <w:rsid w:val="00922D53"/>
    <w:rsid w:val="00932ED5"/>
    <w:rsid w:val="00941C00"/>
    <w:rsid w:val="009453C1"/>
    <w:rsid w:val="00945402"/>
    <w:rsid w:val="00945981"/>
    <w:rsid w:val="00945B0C"/>
    <w:rsid w:val="00947AE3"/>
    <w:rsid w:val="00950F0C"/>
    <w:rsid w:val="0095133D"/>
    <w:rsid w:val="00961FED"/>
    <w:rsid w:val="00967C1C"/>
    <w:rsid w:val="00970460"/>
    <w:rsid w:val="009763BD"/>
    <w:rsid w:val="00976A00"/>
    <w:rsid w:val="00981721"/>
    <w:rsid w:val="00984DA0"/>
    <w:rsid w:val="00985CD1"/>
    <w:rsid w:val="00991613"/>
    <w:rsid w:val="0099208F"/>
    <w:rsid w:val="009921F2"/>
    <w:rsid w:val="00996E0A"/>
    <w:rsid w:val="009976DD"/>
    <w:rsid w:val="009A0140"/>
    <w:rsid w:val="009A09A6"/>
    <w:rsid w:val="009A1748"/>
    <w:rsid w:val="009B1957"/>
    <w:rsid w:val="009B3CD1"/>
    <w:rsid w:val="009B4A35"/>
    <w:rsid w:val="009B62E4"/>
    <w:rsid w:val="009B7144"/>
    <w:rsid w:val="009C1B6D"/>
    <w:rsid w:val="009C4C5F"/>
    <w:rsid w:val="009C53F3"/>
    <w:rsid w:val="009D0F36"/>
    <w:rsid w:val="009D368C"/>
    <w:rsid w:val="009D4125"/>
    <w:rsid w:val="009E1E7D"/>
    <w:rsid w:val="009E67B2"/>
    <w:rsid w:val="009E7831"/>
    <w:rsid w:val="009F5E75"/>
    <w:rsid w:val="009F77D2"/>
    <w:rsid w:val="00A04018"/>
    <w:rsid w:val="00A0550C"/>
    <w:rsid w:val="00A05CA6"/>
    <w:rsid w:val="00A136DC"/>
    <w:rsid w:val="00A149C0"/>
    <w:rsid w:val="00A233B5"/>
    <w:rsid w:val="00A24CF9"/>
    <w:rsid w:val="00A3075C"/>
    <w:rsid w:val="00A43AA1"/>
    <w:rsid w:val="00A753C8"/>
    <w:rsid w:val="00A83D56"/>
    <w:rsid w:val="00A83EB5"/>
    <w:rsid w:val="00A87895"/>
    <w:rsid w:val="00A87F24"/>
    <w:rsid w:val="00A94BC8"/>
    <w:rsid w:val="00AA008E"/>
    <w:rsid w:val="00AA0F64"/>
    <w:rsid w:val="00AA337E"/>
    <w:rsid w:val="00AA6982"/>
    <w:rsid w:val="00AA7363"/>
    <w:rsid w:val="00AB173C"/>
    <w:rsid w:val="00AB177C"/>
    <w:rsid w:val="00AB2C7C"/>
    <w:rsid w:val="00AB5DC3"/>
    <w:rsid w:val="00AC61CD"/>
    <w:rsid w:val="00AD074D"/>
    <w:rsid w:val="00AD2556"/>
    <w:rsid w:val="00AD4E85"/>
    <w:rsid w:val="00AD50AE"/>
    <w:rsid w:val="00AE0630"/>
    <w:rsid w:val="00B04771"/>
    <w:rsid w:val="00B140A4"/>
    <w:rsid w:val="00B206CE"/>
    <w:rsid w:val="00B21994"/>
    <w:rsid w:val="00B254C3"/>
    <w:rsid w:val="00B32016"/>
    <w:rsid w:val="00B40B0A"/>
    <w:rsid w:val="00B43397"/>
    <w:rsid w:val="00B470C6"/>
    <w:rsid w:val="00B47DBC"/>
    <w:rsid w:val="00B54AC0"/>
    <w:rsid w:val="00B61495"/>
    <w:rsid w:val="00B667B2"/>
    <w:rsid w:val="00B6706C"/>
    <w:rsid w:val="00B70050"/>
    <w:rsid w:val="00B71330"/>
    <w:rsid w:val="00B725E5"/>
    <w:rsid w:val="00B811B1"/>
    <w:rsid w:val="00B83F9C"/>
    <w:rsid w:val="00B84AAD"/>
    <w:rsid w:val="00B859DB"/>
    <w:rsid w:val="00B8745A"/>
    <w:rsid w:val="00B92868"/>
    <w:rsid w:val="00B959D1"/>
    <w:rsid w:val="00BA1A0C"/>
    <w:rsid w:val="00BA4AF7"/>
    <w:rsid w:val="00BB52EE"/>
    <w:rsid w:val="00BB6A6A"/>
    <w:rsid w:val="00BC2D41"/>
    <w:rsid w:val="00BD079C"/>
    <w:rsid w:val="00BD4ABB"/>
    <w:rsid w:val="00BE7AD9"/>
    <w:rsid w:val="00BF0EEB"/>
    <w:rsid w:val="00BF1EB7"/>
    <w:rsid w:val="00BF2C5A"/>
    <w:rsid w:val="00C033C1"/>
    <w:rsid w:val="00C03950"/>
    <w:rsid w:val="00C05514"/>
    <w:rsid w:val="00C0630C"/>
    <w:rsid w:val="00C13654"/>
    <w:rsid w:val="00C206A5"/>
    <w:rsid w:val="00C20D2D"/>
    <w:rsid w:val="00C21B60"/>
    <w:rsid w:val="00C243DA"/>
    <w:rsid w:val="00C36612"/>
    <w:rsid w:val="00C36ED5"/>
    <w:rsid w:val="00C3721E"/>
    <w:rsid w:val="00C37EB4"/>
    <w:rsid w:val="00C44C32"/>
    <w:rsid w:val="00C44E3B"/>
    <w:rsid w:val="00C5111A"/>
    <w:rsid w:val="00C525C3"/>
    <w:rsid w:val="00C54796"/>
    <w:rsid w:val="00C84BD0"/>
    <w:rsid w:val="00C84F82"/>
    <w:rsid w:val="00C93BF9"/>
    <w:rsid w:val="00C946FE"/>
    <w:rsid w:val="00C96FD1"/>
    <w:rsid w:val="00CA1477"/>
    <w:rsid w:val="00CA3365"/>
    <w:rsid w:val="00CA38F1"/>
    <w:rsid w:val="00CA3A42"/>
    <w:rsid w:val="00CA5DF5"/>
    <w:rsid w:val="00CA6AB4"/>
    <w:rsid w:val="00CB2A72"/>
    <w:rsid w:val="00CC3FEE"/>
    <w:rsid w:val="00CC439B"/>
    <w:rsid w:val="00CC56C2"/>
    <w:rsid w:val="00CC7BB3"/>
    <w:rsid w:val="00CD11CF"/>
    <w:rsid w:val="00CD40E2"/>
    <w:rsid w:val="00CD4F2E"/>
    <w:rsid w:val="00CE61F4"/>
    <w:rsid w:val="00CF08BF"/>
    <w:rsid w:val="00CF2386"/>
    <w:rsid w:val="00CF5A24"/>
    <w:rsid w:val="00D008F5"/>
    <w:rsid w:val="00D15602"/>
    <w:rsid w:val="00D23A6C"/>
    <w:rsid w:val="00D3172E"/>
    <w:rsid w:val="00D3642C"/>
    <w:rsid w:val="00D41E05"/>
    <w:rsid w:val="00D4529D"/>
    <w:rsid w:val="00D568FA"/>
    <w:rsid w:val="00D60C86"/>
    <w:rsid w:val="00D61E13"/>
    <w:rsid w:val="00D672E7"/>
    <w:rsid w:val="00D713C8"/>
    <w:rsid w:val="00D71B75"/>
    <w:rsid w:val="00D83562"/>
    <w:rsid w:val="00D87E85"/>
    <w:rsid w:val="00D93822"/>
    <w:rsid w:val="00D957C8"/>
    <w:rsid w:val="00D95DDA"/>
    <w:rsid w:val="00D96679"/>
    <w:rsid w:val="00DA7E40"/>
    <w:rsid w:val="00DB3C0E"/>
    <w:rsid w:val="00DB4A3F"/>
    <w:rsid w:val="00DB7D93"/>
    <w:rsid w:val="00DC13CA"/>
    <w:rsid w:val="00DC3FD5"/>
    <w:rsid w:val="00DC49E2"/>
    <w:rsid w:val="00DC5861"/>
    <w:rsid w:val="00DD565E"/>
    <w:rsid w:val="00DD5782"/>
    <w:rsid w:val="00DD58AE"/>
    <w:rsid w:val="00DD6972"/>
    <w:rsid w:val="00DE1B01"/>
    <w:rsid w:val="00DE37FC"/>
    <w:rsid w:val="00DF003D"/>
    <w:rsid w:val="00DF2C4D"/>
    <w:rsid w:val="00DF6735"/>
    <w:rsid w:val="00E02B61"/>
    <w:rsid w:val="00E03070"/>
    <w:rsid w:val="00E0789A"/>
    <w:rsid w:val="00E14BCB"/>
    <w:rsid w:val="00E1602C"/>
    <w:rsid w:val="00E2245D"/>
    <w:rsid w:val="00E2381D"/>
    <w:rsid w:val="00E24621"/>
    <w:rsid w:val="00E2463A"/>
    <w:rsid w:val="00E319D1"/>
    <w:rsid w:val="00E3221B"/>
    <w:rsid w:val="00E3386A"/>
    <w:rsid w:val="00E47D1B"/>
    <w:rsid w:val="00E54302"/>
    <w:rsid w:val="00E54E10"/>
    <w:rsid w:val="00E55910"/>
    <w:rsid w:val="00E57CF1"/>
    <w:rsid w:val="00E62437"/>
    <w:rsid w:val="00E648C4"/>
    <w:rsid w:val="00E67D7D"/>
    <w:rsid w:val="00E773E8"/>
    <w:rsid w:val="00E85930"/>
    <w:rsid w:val="00E85F73"/>
    <w:rsid w:val="00E9007C"/>
    <w:rsid w:val="00E90DED"/>
    <w:rsid w:val="00E96B4B"/>
    <w:rsid w:val="00EA1C70"/>
    <w:rsid w:val="00EA4B53"/>
    <w:rsid w:val="00EA6E32"/>
    <w:rsid w:val="00EA7373"/>
    <w:rsid w:val="00EB45EC"/>
    <w:rsid w:val="00EB4A1D"/>
    <w:rsid w:val="00EB771E"/>
    <w:rsid w:val="00EB7F5F"/>
    <w:rsid w:val="00EC0593"/>
    <w:rsid w:val="00EC51AF"/>
    <w:rsid w:val="00EC6FCB"/>
    <w:rsid w:val="00EC776F"/>
    <w:rsid w:val="00ED4712"/>
    <w:rsid w:val="00ED699D"/>
    <w:rsid w:val="00EE1BC0"/>
    <w:rsid w:val="00EE4274"/>
    <w:rsid w:val="00EE4C2A"/>
    <w:rsid w:val="00EE6A5A"/>
    <w:rsid w:val="00EF0C86"/>
    <w:rsid w:val="00EF2429"/>
    <w:rsid w:val="00F12AB1"/>
    <w:rsid w:val="00F214A8"/>
    <w:rsid w:val="00F225AF"/>
    <w:rsid w:val="00F233A6"/>
    <w:rsid w:val="00F243F5"/>
    <w:rsid w:val="00F247D1"/>
    <w:rsid w:val="00F33DEC"/>
    <w:rsid w:val="00F361F8"/>
    <w:rsid w:val="00F4062E"/>
    <w:rsid w:val="00F4182E"/>
    <w:rsid w:val="00F41862"/>
    <w:rsid w:val="00F44BF6"/>
    <w:rsid w:val="00F45A2E"/>
    <w:rsid w:val="00F5014A"/>
    <w:rsid w:val="00F524D9"/>
    <w:rsid w:val="00F527C1"/>
    <w:rsid w:val="00F54831"/>
    <w:rsid w:val="00F57F42"/>
    <w:rsid w:val="00F601FD"/>
    <w:rsid w:val="00F616F4"/>
    <w:rsid w:val="00F65C21"/>
    <w:rsid w:val="00F65C78"/>
    <w:rsid w:val="00F6698D"/>
    <w:rsid w:val="00F7216E"/>
    <w:rsid w:val="00F73537"/>
    <w:rsid w:val="00F741A0"/>
    <w:rsid w:val="00F866E3"/>
    <w:rsid w:val="00F879AC"/>
    <w:rsid w:val="00F91A26"/>
    <w:rsid w:val="00F934A2"/>
    <w:rsid w:val="00F944F3"/>
    <w:rsid w:val="00F94C8A"/>
    <w:rsid w:val="00F971ED"/>
    <w:rsid w:val="00F9794C"/>
    <w:rsid w:val="00FA1BF4"/>
    <w:rsid w:val="00FA25B6"/>
    <w:rsid w:val="00FA3499"/>
    <w:rsid w:val="00FA3633"/>
    <w:rsid w:val="00FA5B5C"/>
    <w:rsid w:val="00FA5EDC"/>
    <w:rsid w:val="00FA6315"/>
    <w:rsid w:val="00FD169A"/>
    <w:rsid w:val="00FD2649"/>
    <w:rsid w:val="00FE0067"/>
    <w:rsid w:val="00FE0A33"/>
    <w:rsid w:val="00FE1601"/>
    <w:rsid w:val="00FE37C8"/>
    <w:rsid w:val="00FE3863"/>
    <w:rsid w:val="00FE4924"/>
    <w:rsid w:val="00FE6C1B"/>
    <w:rsid w:val="00FF26FB"/>
    <w:rsid w:val="00FF28B7"/>
    <w:rsid w:val="5277B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F80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1"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qFormat/>
    <w:rsid w:val="00D713C8"/>
    <w:pPr>
      <w:spacing w:before="60" w:after="60"/>
    </w:pPr>
    <w:rPr>
      <w:rFonts w:ascii="Arial" w:hAnsi="Arial" w:cs="Arial"/>
      <w:b/>
      <w:sz w:val="22"/>
      <w:szCs w:val="22"/>
    </w:rPr>
  </w:style>
  <w:style w:type="paragraph" w:customStyle="1" w:styleId="TableText">
    <w:name w:val="Table Text"/>
    <w:link w:val="TableTextChar"/>
    <w:qFormat/>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rsid w:val="001535AC"/>
    <w:pPr>
      <w:spacing w:before="60" w:after="60"/>
    </w:pPr>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aliases w:val="bx,bt,Body Text Char1,Body Text Char2 Char,Body Text Char1 Char Char,Body Text Char2 Char Char Char,Body Text Char1 Char Char Char Char,Body Text Char2 Char Char Char Charheader 3,Body Test,bxBody Text Normal,bt Char Char Char Char Char Char"/>
    <w:link w:val="BodyTextChar"/>
    <w:qFormat/>
    <w:rsid w:val="006E5523"/>
    <w:pPr>
      <w:spacing w:before="120" w:after="120"/>
    </w:pPr>
    <w:rPr>
      <w:sz w:val="24"/>
    </w:rPr>
  </w:style>
  <w:style w:type="character" w:customStyle="1" w:styleId="BodyTextChar">
    <w:name w:val="Body Text Char"/>
    <w:aliases w:val="bx Char,bt Char,Body Text Char1 Char,Body Text Char2 Char Char,Body Text Char1 Char Char Char,Body Text Char2 Char Char Char Char,Body Text Char1 Char Char Char Char Char,Body Text Char2 Char Char Char Charheader 3 Char,Body Tes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qFormat/>
    <w:rsid w:val="004E62E3"/>
    <w:pPr>
      <w:ind w:left="720"/>
      <w:contextualSpacing/>
    </w:pPr>
    <w:rPr>
      <w:sz w:val="24"/>
    </w:rPr>
  </w:style>
  <w:style w:type="character" w:styleId="CommentReference">
    <w:name w:val="annotation reference"/>
    <w:basedOn w:val="DefaultParagraphFont"/>
    <w:rsid w:val="00CA3365"/>
    <w:rPr>
      <w:sz w:val="16"/>
      <w:szCs w:val="16"/>
    </w:rPr>
  </w:style>
  <w:style w:type="paragraph" w:styleId="CommentText">
    <w:name w:val="annotation text"/>
    <w:basedOn w:val="Normal"/>
    <w:link w:val="CommentTextChar"/>
    <w:rsid w:val="00CA3365"/>
    <w:rPr>
      <w:sz w:val="20"/>
      <w:szCs w:val="20"/>
    </w:rPr>
  </w:style>
  <w:style w:type="character" w:customStyle="1" w:styleId="CommentTextChar">
    <w:name w:val="Comment Text Char"/>
    <w:basedOn w:val="DefaultParagraphFont"/>
    <w:link w:val="CommentText"/>
    <w:rsid w:val="00CA3365"/>
    <w:rPr>
      <w:color w:val="000000" w:themeColor="text1"/>
    </w:rPr>
  </w:style>
  <w:style w:type="character" w:customStyle="1" w:styleId="TableHeadingChar">
    <w:name w:val="Table Heading Char"/>
    <w:link w:val="TableHeading"/>
    <w:locked/>
    <w:rsid w:val="00985CD1"/>
    <w:rPr>
      <w:rFonts w:ascii="Arial" w:hAnsi="Arial" w:cs="Arial"/>
      <w:b/>
      <w:sz w:val="22"/>
      <w:szCs w:val="22"/>
    </w:rPr>
  </w:style>
  <w:style w:type="paragraph" w:styleId="CommentSubject">
    <w:name w:val="annotation subject"/>
    <w:basedOn w:val="CommentText"/>
    <w:next w:val="CommentText"/>
    <w:link w:val="CommentSubjectChar"/>
    <w:semiHidden/>
    <w:unhideWhenUsed/>
    <w:rsid w:val="008B3E6B"/>
    <w:rPr>
      <w:b/>
      <w:bCs/>
    </w:rPr>
  </w:style>
  <w:style w:type="character" w:customStyle="1" w:styleId="CommentSubjectChar">
    <w:name w:val="Comment Subject Char"/>
    <w:basedOn w:val="CommentTextChar"/>
    <w:link w:val="CommentSubject"/>
    <w:semiHidden/>
    <w:rsid w:val="008B3E6B"/>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1"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qFormat/>
    <w:rsid w:val="00D713C8"/>
    <w:pPr>
      <w:spacing w:before="60" w:after="60"/>
    </w:pPr>
    <w:rPr>
      <w:rFonts w:ascii="Arial" w:hAnsi="Arial" w:cs="Arial"/>
      <w:b/>
      <w:sz w:val="22"/>
      <w:szCs w:val="22"/>
    </w:rPr>
  </w:style>
  <w:style w:type="paragraph" w:customStyle="1" w:styleId="TableText">
    <w:name w:val="Table Text"/>
    <w:link w:val="TableTextChar"/>
    <w:qFormat/>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rsid w:val="001535AC"/>
    <w:pPr>
      <w:spacing w:before="60" w:after="60"/>
    </w:pPr>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aliases w:val="bx,bt,Body Text Char1,Body Text Char2 Char,Body Text Char1 Char Char,Body Text Char2 Char Char Char,Body Text Char1 Char Char Char Char,Body Text Char2 Char Char Char Charheader 3,Body Test,bxBody Text Normal,bt Char Char Char Char Char Char"/>
    <w:link w:val="BodyTextChar"/>
    <w:qFormat/>
    <w:rsid w:val="006E5523"/>
    <w:pPr>
      <w:spacing w:before="120" w:after="120"/>
    </w:pPr>
    <w:rPr>
      <w:sz w:val="24"/>
    </w:rPr>
  </w:style>
  <w:style w:type="character" w:customStyle="1" w:styleId="BodyTextChar">
    <w:name w:val="Body Text Char"/>
    <w:aliases w:val="bx Char,bt Char,Body Text Char1 Char,Body Text Char2 Char Char,Body Text Char1 Char Char Char,Body Text Char2 Char Char Char Char,Body Text Char1 Char Char Char Char Char,Body Text Char2 Char Char Char Charheader 3 Char,Body Tes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qFormat/>
    <w:rsid w:val="004E62E3"/>
    <w:pPr>
      <w:ind w:left="720"/>
      <w:contextualSpacing/>
    </w:pPr>
    <w:rPr>
      <w:sz w:val="24"/>
    </w:rPr>
  </w:style>
  <w:style w:type="character" w:styleId="CommentReference">
    <w:name w:val="annotation reference"/>
    <w:basedOn w:val="DefaultParagraphFont"/>
    <w:rsid w:val="00CA3365"/>
    <w:rPr>
      <w:sz w:val="16"/>
      <w:szCs w:val="16"/>
    </w:rPr>
  </w:style>
  <w:style w:type="paragraph" w:styleId="CommentText">
    <w:name w:val="annotation text"/>
    <w:basedOn w:val="Normal"/>
    <w:link w:val="CommentTextChar"/>
    <w:rsid w:val="00CA3365"/>
    <w:rPr>
      <w:sz w:val="20"/>
      <w:szCs w:val="20"/>
    </w:rPr>
  </w:style>
  <w:style w:type="character" w:customStyle="1" w:styleId="CommentTextChar">
    <w:name w:val="Comment Text Char"/>
    <w:basedOn w:val="DefaultParagraphFont"/>
    <w:link w:val="CommentText"/>
    <w:rsid w:val="00CA3365"/>
    <w:rPr>
      <w:color w:val="000000" w:themeColor="text1"/>
    </w:rPr>
  </w:style>
  <w:style w:type="character" w:customStyle="1" w:styleId="TableHeadingChar">
    <w:name w:val="Table Heading Char"/>
    <w:link w:val="TableHeading"/>
    <w:locked/>
    <w:rsid w:val="00985CD1"/>
    <w:rPr>
      <w:rFonts w:ascii="Arial" w:hAnsi="Arial" w:cs="Arial"/>
      <w:b/>
      <w:sz w:val="22"/>
      <w:szCs w:val="22"/>
    </w:rPr>
  </w:style>
  <w:style w:type="paragraph" w:styleId="CommentSubject">
    <w:name w:val="annotation subject"/>
    <w:basedOn w:val="CommentText"/>
    <w:next w:val="CommentText"/>
    <w:link w:val="CommentSubjectChar"/>
    <w:semiHidden/>
    <w:unhideWhenUsed/>
    <w:rsid w:val="008B3E6B"/>
    <w:rPr>
      <w:b/>
      <w:bCs/>
    </w:rPr>
  </w:style>
  <w:style w:type="character" w:customStyle="1" w:styleId="CommentSubjectChar">
    <w:name w:val="Comment Subject Char"/>
    <w:basedOn w:val="CommentTextChar"/>
    <w:link w:val="CommentSubject"/>
    <w:semiHidden/>
    <w:rsid w:val="008B3E6B"/>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DNS/nsrd/Tab_GeneralInfoView.asp?RequestID=20110707" TargetMode="External"/><Relationship Id="rId26" Type="http://schemas.openxmlformats.org/officeDocument/2006/relationships/hyperlink" Target="http://DNS/projects/genisis/Library/GenISIS%202.0/SDD/ETMSS_GenISIS_2%200_SDD_v1.0_03_03_2016.docx" TargetMode="External"/><Relationship Id="rId3" Type="http://schemas.openxmlformats.org/officeDocument/2006/relationships/styles" Target="styles.xml"/><Relationship Id="rId21" Type="http://schemas.openxmlformats.org/officeDocument/2006/relationships/hyperlink" Target="https://DNS/mhv-portal-web/anonymous.portal?_nfpb=true&amp;_nfto=false&amp;_pageLabel=mhvHome"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DNS/nsrd/Tab_GeneralInfoView.asp?RequestID=20130905" TargetMode="External"/><Relationship Id="rId25" Type="http://schemas.openxmlformats.org/officeDocument/2006/relationships/hyperlink" Target="http://DNS/warboard/anotebk.asp?proj=1870&amp;Type=Active"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DNS/nsrd/Tab_GeneralInfoView.asp?RequestID=2014110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DNS/projects/genisis/Library/Forms/AllItems.aspx?RootFolder=%2fprojects%2fgenisis%2fLibrary%2fGenISIS%202%2e0%2fBRD&amp;FolderCTID=0x012000E370FA0EF8A7CF4BB124BDEB789A25AF&amp;View=%7b18187E30%2d3F6E%2d4F52%2dAEF1%2d49EBF9269F0D%7d"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DNS/projects/genisis/Library/Forms/AllItems.aspx?RootFolder=%2fprojects%2fgenisis%2fLibrary%2fGenISIS%202%2e0%2fBRD&amp;FolderCTID=0x012000E370FA0EF8A7CF4BB124BDEB789A25AF&amp;View=%7b18187E30%2d3F6E%2d4F52%2dAEF1%2d49EBF9269F0D%7d" TargetMode="External"/><Relationship Id="rId28" Type="http://schemas.openxmlformats.org/officeDocument/2006/relationships/footer" Target="footer5.xml"/><Relationship Id="rId10" Type="http://schemas.openxmlformats.org/officeDocument/2006/relationships/header" Target="header1.xml"/><Relationship Id="rId19" Type="http://schemas.openxmlformats.org/officeDocument/2006/relationships/hyperlink" Target="http://DNS/nsrd/Tab_GeneralInfoView.asp?RequestID=20110706"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DNS/warboard/anotebk.asp?proj=1870&amp;Type=Active" TargetMode="External"/><Relationship Id="rId27" Type="http://schemas.openxmlformats.org/officeDocument/2006/relationships/hyperlink" Target="http://DNS/projects/genisis/Library/Forms/AllItems.aspx?RootFolder=%2fprojects%2fgenisis%2fLibrary%2fGenISIS%202%2e0%2fRisk%20Register&amp;FolderCTID=0x012000E370FA0EF8A7CF4BB124BDEB789A25AF" TargetMode="Externa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9623C-CCD7-4E6A-8DFF-14AC858DD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5023</Words>
  <Characters>28633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2017-10-04T15:47:00Z</dcterms:created>
  <dcterms:modified xsi:type="dcterms:W3CDTF">2017-10-04T15:47:00Z</dcterms:modified>
</cp:coreProperties>
</file>